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4F6C6D" w14:textId="77777777" w:rsidR="004C1092" w:rsidRPr="009B381E" w:rsidRDefault="004C1092" w:rsidP="00983417">
      <w:pPr>
        <w:pStyle w:val="Title"/>
        <w:spacing w:after="120" w:line="240" w:lineRule="auto"/>
        <w:jc w:val="left"/>
        <w:rPr>
          <w:sz w:val="24"/>
          <w:szCs w:val="24"/>
        </w:rPr>
      </w:pPr>
    </w:p>
    <w:p w14:paraId="39FCDFA5" w14:textId="250346D5" w:rsidR="0064777F" w:rsidRDefault="0064777F" w:rsidP="008838DB">
      <w:pPr>
        <w:pStyle w:val="Title"/>
        <w:spacing w:after="120" w:line="240" w:lineRule="auto"/>
        <w:rPr>
          <w:sz w:val="24"/>
          <w:szCs w:val="24"/>
        </w:rPr>
      </w:pPr>
      <w:r>
        <w:rPr>
          <w:sz w:val="24"/>
          <w:szCs w:val="24"/>
        </w:rPr>
        <w:t>NOTĂ DE FUNDAMENTARE</w:t>
      </w:r>
    </w:p>
    <w:p w14:paraId="0448C4F0" w14:textId="77777777" w:rsidR="00223491" w:rsidRPr="00223491" w:rsidRDefault="00223491" w:rsidP="008838DB">
      <w:pPr>
        <w:pStyle w:val="Title"/>
        <w:spacing w:after="120" w:line="240" w:lineRule="auto"/>
        <w:ind w:firstLine="720"/>
        <w:jc w:val="left"/>
        <w:rPr>
          <w:sz w:val="24"/>
          <w:szCs w:val="24"/>
        </w:rPr>
      </w:pPr>
      <w:r w:rsidRPr="00223491">
        <w:rPr>
          <w:sz w:val="24"/>
          <w:szCs w:val="24"/>
        </w:rPr>
        <w:t>Secțiunea 1</w:t>
      </w:r>
    </w:p>
    <w:p w14:paraId="78C75447" w14:textId="76B7EDCC" w:rsidR="00223491" w:rsidRPr="009B381E" w:rsidRDefault="00223491" w:rsidP="008838DB">
      <w:pPr>
        <w:pStyle w:val="Title"/>
        <w:spacing w:after="120" w:line="240" w:lineRule="auto"/>
        <w:ind w:firstLine="720"/>
        <w:jc w:val="left"/>
        <w:rPr>
          <w:sz w:val="24"/>
          <w:szCs w:val="24"/>
        </w:rPr>
      </w:pPr>
      <w:r w:rsidRPr="00223491">
        <w:rPr>
          <w:sz w:val="24"/>
          <w:szCs w:val="24"/>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520BE3" w:rsidRPr="009B381E" w14:paraId="117C71DD" w14:textId="77777777" w:rsidTr="00223491">
        <w:tc>
          <w:tcPr>
            <w:tcW w:w="10490" w:type="dxa"/>
          </w:tcPr>
          <w:p w14:paraId="338F09EC" w14:textId="4FB8B30B" w:rsidR="00670C79" w:rsidRPr="009B381E" w:rsidRDefault="00F63717" w:rsidP="006C28DB">
            <w:pPr>
              <w:widowControl w:val="0"/>
              <w:spacing w:after="120" w:line="360" w:lineRule="auto"/>
              <w:rPr>
                <w:b/>
                <w:lang w:eastAsia="ro-RO"/>
              </w:rPr>
            </w:pPr>
            <w:r w:rsidRPr="00964CC4">
              <w:rPr>
                <w:b/>
                <w:bCs/>
              </w:rPr>
              <w:t xml:space="preserve">Hotărâre a Guvernului pentru modificarea și completarea Hotărârii Guvernului nr. 52/2018 privind organizarea și funcționarea Ministerului </w:t>
            </w:r>
            <w:r w:rsidR="005144FA">
              <w:rPr>
                <w:b/>
                <w:bCs/>
              </w:rPr>
              <w:t>Investițiilor și Proiectelor Europene</w:t>
            </w:r>
            <w:r w:rsidRPr="009B381E">
              <w:rPr>
                <w:b/>
                <w:lang w:eastAsia="ro-RO"/>
              </w:rPr>
              <w:t xml:space="preserve"> </w:t>
            </w:r>
          </w:p>
        </w:tc>
      </w:tr>
    </w:tbl>
    <w:p w14:paraId="7A7E5E9C" w14:textId="77777777" w:rsidR="00160F88" w:rsidRDefault="00160F88" w:rsidP="006C28DB">
      <w:pPr>
        <w:spacing w:after="120" w:line="360" w:lineRule="auto"/>
        <w:ind w:firstLine="720"/>
        <w:jc w:val="both"/>
        <w:rPr>
          <w:b/>
          <w:lang w:eastAsia="ro-RO"/>
        </w:rPr>
      </w:pPr>
    </w:p>
    <w:p w14:paraId="33C1CD30" w14:textId="77777777" w:rsidR="00223491" w:rsidRDefault="00C5468F" w:rsidP="006C28DB">
      <w:pPr>
        <w:spacing w:after="120" w:line="360" w:lineRule="auto"/>
        <w:ind w:firstLine="720"/>
        <w:jc w:val="both"/>
        <w:rPr>
          <w:b/>
          <w:lang w:eastAsia="ro-RO"/>
        </w:rPr>
      </w:pPr>
      <w:r w:rsidRPr="009B381E">
        <w:rPr>
          <w:b/>
          <w:lang w:eastAsia="ro-RO"/>
        </w:rPr>
        <w:t>Secțiunea</w:t>
      </w:r>
      <w:r w:rsidR="00670C79" w:rsidRPr="009B381E">
        <w:rPr>
          <w:b/>
          <w:lang w:eastAsia="ro-RO"/>
        </w:rPr>
        <w:t xml:space="preserve"> a 2-a  </w:t>
      </w:r>
    </w:p>
    <w:p w14:paraId="23181ACA" w14:textId="4A5ED943" w:rsidR="00CB78C4" w:rsidRPr="009B381E" w:rsidRDefault="00670C79" w:rsidP="006C28DB">
      <w:pPr>
        <w:spacing w:after="120" w:line="360" w:lineRule="auto"/>
        <w:ind w:firstLine="720"/>
        <w:jc w:val="both"/>
        <w:rPr>
          <w:b/>
          <w:lang w:eastAsia="ro-RO"/>
        </w:rPr>
      </w:pPr>
      <w:r w:rsidRPr="009B381E">
        <w:rPr>
          <w:b/>
          <w:lang w:eastAsia="ro-RO"/>
        </w:rPr>
        <w:t>Motivul emiterii actului normativ</w:t>
      </w:r>
      <w:r w:rsidR="0066428B" w:rsidRPr="009B381E">
        <w:rPr>
          <w:b/>
          <w:lang w:eastAsia="ro-RO"/>
        </w:rPr>
        <w:t xml:space="preserve"> </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23491" w:rsidRPr="00F73219" w14:paraId="47D7FD1D" w14:textId="77777777" w:rsidTr="005144FA">
        <w:trPr>
          <w:trHeight w:val="841"/>
        </w:trPr>
        <w:tc>
          <w:tcPr>
            <w:tcW w:w="10490" w:type="dxa"/>
          </w:tcPr>
          <w:p w14:paraId="083EB0F1" w14:textId="535B3420" w:rsidR="008441CD" w:rsidRDefault="00223491" w:rsidP="006C28DB">
            <w:pPr>
              <w:autoSpaceDE w:val="0"/>
              <w:autoSpaceDN w:val="0"/>
              <w:adjustRightInd w:val="0"/>
              <w:spacing w:after="120" w:line="360" w:lineRule="auto"/>
              <w:jc w:val="both"/>
              <w:rPr>
                <w:lang w:eastAsia="ro-RO"/>
              </w:rPr>
            </w:pPr>
            <w:r w:rsidRPr="00223491">
              <w:rPr>
                <w:b/>
                <w:lang w:eastAsia="ro-RO"/>
              </w:rPr>
              <w:t>2.1 Sursa proiectului de act normativ</w:t>
            </w:r>
            <w:r w:rsidRPr="00223491">
              <w:rPr>
                <w:lang w:eastAsia="ro-RO"/>
              </w:rPr>
              <w:t xml:space="preserve"> </w:t>
            </w:r>
          </w:p>
          <w:p w14:paraId="7BB99B83" w14:textId="076D4699" w:rsidR="005144FA" w:rsidRPr="00BA2A0F" w:rsidRDefault="005144FA" w:rsidP="006C28DB">
            <w:pPr>
              <w:spacing w:line="360" w:lineRule="auto"/>
              <w:jc w:val="both"/>
              <w:rPr>
                <w:color w:val="FF0000"/>
              </w:rPr>
            </w:pPr>
            <w:r>
              <w:t xml:space="preserve">Ordonanța de Urgență a </w:t>
            </w:r>
            <w:r w:rsidR="001338CB" w:rsidRPr="001338CB">
              <w:t>Guvernului nr.170 din 8 decembrie 2022</w:t>
            </w:r>
            <w:r w:rsidRPr="001338CB">
              <w:t xml:space="preserve"> </w:t>
            </w:r>
            <w:r>
              <w:t>privind aprobarea unor măsuri pentru consolidarea capacității administrative a Ministerului Investițiilor și Proiectelor Europene de gestionare a programelor operaționale pentru perioada de programare 2021-2027, publicată în Mo</w:t>
            </w:r>
            <w:r w:rsidR="000031A8">
              <w:t xml:space="preserve">nitorul Oficial al </w:t>
            </w:r>
            <w:r w:rsidR="001338CB" w:rsidRPr="001338CB">
              <w:t>României nr.1192/12.XII.2022</w:t>
            </w:r>
          </w:p>
          <w:p w14:paraId="712751ED" w14:textId="3BC8F0FD" w:rsidR="0048629C" w:rsidRPr="009F11DD" w:rsidRDefault="000031A8" w:rsidP="006C28DB">
            <w:pPr>
              <w:spacing w:line="360" w:lineRule="auto"/>
              <w:jc w:val="both"/>
            </w:pPr>
            <w:r>
              <w:t xml:space="preserve">Această ordonanță de urgență a fost adoptată din necesitatea asigurării și implementării tuturor funcțiilor </w:t>
            </w:r>
            <w:r w:rsidR="0048629C" w:rsidRPr="009F11DD">
              <w:t xml:space="preserve">de sistem stabilite de regulamentele europene, finalizarea </w:t>
            </w:r>
            <w:r w:rsidR="00433C33" w:rsidRPr="009F11DD">
              <w:t xml:space="preserve">acestui proces </w:t>
            </w:r>
            <w:r w:rsidR="0048629C" w:rsidRPr="009F11DD">
              <w:t>fiind posibilă numai în condițiile asigurării cadrului legal și instituțional la nivel național</w:t>
            </w:r>
            <w:r w:rsidR="00C11080">
              <w:t xml:space="preserve">, precum și pentru </w:t>
            </w:r>
            <w:r w:rsidR="00C11080" w:rsidRPr="00C11080">
              <w:t>accelerarea aprobării programelor operaționale, inclusiv a celor vizând domeniile sănătății și tranziției juste, pentru care trebuie asigurate sistemele de management și control avut în vedere pentru fiecare program operațional</w:t>
            </w:r>
            <w:r w:rsidR="0023452B">
              <w:t>.</w:t>
            </w:r>
          </w:p>
          <w:p w14:paraId="1E9F92DF" w14:textId="77777777" w:rsidR="005144FA" w:rsidRDefault="005144FA" w:rsidP="006C28DB">
            <w:pPr>
              <w:spacing w:line="360" w:lineRule="auto"/>
              <w:jc w:val="both"/>
            </w:pPr>
          </w:p>
          <w:p w14:paraId="0D1CD931" w14:textId="01FBBD50" w:rsidR="00F63717" w:rsidRDefault="00223491" w:rsidP="006C28DB">
            <w:pPr>
              <w:autoSpaceDE w:val="0"/>
              <w:autoSpaceDN w:val="0"/>
              <w:adjustRightInd w:val="0"/>
              <w:spacing w:after="120" w:line="360" w:lineRule="auto"/>
              <w:jc w:val="both"/>
              <w:rPr>
                <w:b/>
                <w:lang w:eastAsia="ro-RO"/>
              </w:rPr>
            </w:pPr>
            <w:r w:rsidRPr="00223491">
              <w:rPr>
                <w:b/>
                <w:lang w:eastAsia="ro-RO"/>
              </w:rPr>
              <w:t>2.2 Descrierea situației actuale</w:t>
            </w:r>
          </w:p>
          <w:p w14:paraId="259799AD" w14:textId="5CAB605F" w:rsidR="00DD5A1F" w:rsidRPr="009F11DD" w:rsidRDefault="00DD5A1F" w:rsidP="006C28DB">
            <w:pPr>
              <w:autoSpaceDE w:val="0"/>
              <w:autoSpaceDN w:val="0"/>
              <w:adjustRightInd w:val="0"/>
              <w:spacing w:after="120" w:line="360" w:lineRule="auto"/>
              <w:jc w:val="both"/>
              <w:rPr>
                <w:b/>
                <w:lang w:eastAsia="ro-RO"/>
              </w:rPr>
            </w:pPr>
            <w:r w:rsidRPr="00DD5A1F">
              <w:t>Ministerul Investițiilor și Proiectelor Europene (până în 2020- Ministerul Fondurilor Europene) este organul de specialitate al </w:t>
            </w:r>
            <w:hyperlink r:id="rId8" w:tooltip="Administrație publică" w:history="1">
              <w:r w:rsidRPr="00DD5A1F">
                <w:t>administrației publice</w:t>
              </w:r>
            </w:hyperlink>
            <w:r w:rsidRPr="00DD5A1F">
              <w:t> centrale, în subordinea </w:t>
            </w:r>
            <w:hyperlink r:id="rId9" w:tooltip="Guvernul României" w:history="1">
              <w:r w:rsidRPr="00DD5A1F">
                <w:t>Guvernului României</w:t>
              </w:r>
            </w:hyperlink>
            <w:r w:rsidRPr="00DD5A1F">
              <w:t xml:space="preserve">, prin intermediul căruia sunt gestionate </w:t>
            </w:r>
            <w:r>
              <w:t xml:space="preserve">fondurile europene </w:t>
            </w:r>
            <w:r w:rsidRPr="00DD5A1F">
              <w:t xml:space="preserve">și absorbția </w:t>
            </w:r>
            <w:r>
              <w:t>acestora</w:t>
            </w:r>
            <w:r w:rsidRPr="00DD5A1F">
              <w:t xml:space="preserve"> venite din partea </w:t>
            </w:r>
            <w:hyperlink r:id="rId10" w:tooltip="Uniunea Europeană" w:history="1">
              <w:r>
                <w:t>Comisiei</w:t>
              </w:r>
              <w:r w:rsidRPr="00DD5A1F">
                <w:t xml:space="preserve"> Europene</w:t>
              </w:r>
            </w:hyperlink>
            <w:r w:rsidR="00E77D47">
              <w:t xml:space="preserve"> și totodată are rolul de a intermedia accesul românilor la fondurile europene nerambursabile</w:t>
            </w:r>
            <w:r>
              <w:rPr>
                <w:rFonts w:ascii="Arial" w:hAnsi="Arial" w:cs="Arial"/>
                <w:color w:val="202122"/>
                <w:sz w:val="21"/>
                <w:szCs w:val="21"/>
                <w:shd w:val="clear" w:color="auto" w:fill="FFFFFF"/>
              </w:rPr>
              <w:t>.</w:t>
            </w:r>
          </w:p>
          <w:p w14:paraId="082DAA4F" w14:textId="249FB497" w:rsidR="009F11DD" w:rsidRDefault="005F7B8F" w:rsidP="006C28DB">
            <w:pPr>
              <w:autoSpaceDE w:val="0"/>
              <w:autoSpaceDN w:val="0"/>
              <w:adjustRightInd w:val="0"/>
              <w:spacing w:line="360" w:lineRule="auto"/>
              <w:jc w:val="both"/>
            </w:pPr>
            <w:r>
              <w:t>Î</w:t>
            </w:r>
            <w:r w:rsidR="00F63717" w:rsidRPr="00BE705A">
              <w:t xml:space="preserve">n actuala Hotărâre de Guvern nr. 52/2018 privind organizarea </w:t>
            </w:r>
            <w:r w:rsidR="008E1D00">
              <w:t>ș</w:t>
            </w:r>
            <w:r w:rsidR="00F63717" w:rsidRPr="00BE705A">
              <w:t>i func</w:t>
            </w:r>
            <w:r w:rsidR="008E1D00">
              <w:t>ț</w:t>
            </w:r>
            <w:r w:rsidR="00F63717" w:rsidRPr="00BE705A">
              <w:t xml:space="preserve">ionarea Ministerului </w:t>
            </w:r>
            <w:r>
              <w:t>Investițiilor și Proiectelor Europene</w:t>
            </w:r>
            <w:r w:rsidR="00F63717" w:rsidRPr="00BE705A">
              <w:t xml:space="preserve">, cu modificările </w:t>
            </w:r>
            <w:r w:rsidR="008E1D00">
              <w:t>ș</w:t>
            </w:r>
            <w:r w:rsidR="00F63717" w:rsidRPr="00BE705A">
              <w:t>i complet</w:t>
            </w:r>
            <w:r w:rsidR="008E1D00">
              <w:t>ă</w:t>
            </w:r>
            <w:r w:rsidR="00F63717" w:rsidRPr="00BE705A">
              <w:t xml:space="preserve">rile ulterioare, </w:t>
            </w:r>
          </w:p>
          <w:p w14:paraId="6C49B987" w14:textId="77777777" w:rsidR="00F63717" w:rsidRPr="00BE705A" w:rsidRDefault="00F63717" w:rsidP="006C28DB">
            <w:pPr>
              <w:autoSpaceDE w:val="0"/>
              <w:autoSpaceDN w:val="0"/>
              <w:adjustRightInd w:val="0"/>
              <w:spacing w:line="360" w:lineRule="auto"/>
              <w:jc w:val="both"/>
            </w:pPr>
            <w:r w:rsidRPr="00BE705A">
              <w:t>la art. 4:</w:t>
            </w:r>
          </w:p>
          <w:p w14:paraId="5B3F3416" w14:textId="77777777" w:rsidR="0067605E" w:rsidRPr="00B470A0" w:rsidRDefault="0067605E" w:rsidP="006C28DB">
            <w:pPr>
              <w:spacing w:line="360" w:lineRule="auto"/>
              <w:jc w:val="both"/>
            </w:pPr>
            <w:r w:rsidRPr="00B15D10">
              <w:rPr>
                <w:rFonts w:ascii="Trebuchet MS" w:hAnsi="Trebuchet MS" w:cs="Courier New"/>
              </w:rPr>
              <w:t> </w:t>
            </w:r>
            <w:r w:rsidRPr="00B15D10">
              <w:rPr>
                <w:rFonts w:ascii="Trebuchet MS" w:hAnsi="Trebuchet MS" w:cs="Courier New"/>
              </w:rPr>
              <w:t> </w:t>
            </w:r>
            <w:r w:rsidRPr="00B15D10">
              <w:rPr>
                <w:rFonts w:ascii="Trebuchet MS" w:hAnsi="Trebuchet MS" w:cs="Courier New"/>
              </w:rPr>
              <w:t>(</w:t>
            </w:r>
            <w:r w:rsidRPr="00B470A0">
              <w:t xml:space="preserve">1) Ministerul Investițiilor și Proiectelor Europene exercită funcțiile autorității de management și îndeplinește atribuțiile aferente acesteia, pentru: Programul operațional sectorial «Creșterea competitivității economice», Programul operațional «Competitivitate», Programul operațional sectorial «Dezvoltarea resurselor umane» (POSDRU) 2007-2013, Programul operațional «Capital uman» (POCU) 2014-2020, </w:t>
            </w:r>
            <w:r w:rsidRPr="00B470A0">
              <w:lastRenderedPageBreak/>
              <w:t>Programul operațional «Ajutorarea persoanelor defavorizate» (POAD) 2014-2020, Programul operațional «Infrastructura mare» 2014-2020, Programul operațional sectorial «Transport» 2007-2013, Programul operațional sectorial «Mediu» 2007-2013 și Programul operațional «Asistență tehnică» 2007-2013, 2014-2020 și 2021-2027, Programul ISPA, Programul operațional Dezvoltare durabilă 2021-2027 (PODD), Programul operațional pentru Tranziție justă 2021-2027 (POTJ), Programul operațional Educație și ocupare (POEO) 2021-2027, Programul operațional Incluziune și demnitate socială (POIDS) 2021-2027, Programul operațional Creșterea inteligentă, digitalizare și instrumente financiare (POCIDIF) 2021-2027 și Programul operațional Sănătate (POS).</w:t>
            </w:r>
          </w:p>
          <w:p w14:paraId="22BE100D" w14:textId="77777777" w:rsidR="0067605E" w:rsidRPr="00B470A0" w:rsidRDefault="0067605E" w:rsidP="006C28DB">
            <w:pPr>
              <w:spacing w:line="360" w:lineRule="auto"/>
              <w:jc w:val="both"/>
            </w:pPr>
            <w:r w:rsidRPr="00B470A0">
              <w:t>   (2) Ministerul Fondurilor Europene îndeplinește funcția de operator de program potrivit prevederilor anexei B la Memorandumul de înțelegere privind implementarea Mecanismului financiar norvegian 2009-2014 și ale anexei B la Memorandumul de înțelegere privind implementarea Mecanismului financiar al Spațiului Economic European 2009-2014.</w:t>
            </w:r>
          </w:p>
          <w:p w14:paraId="707A9750" w14:textId="77777777" w:rsidR="0067605E" w:rsidRPr="00B470A0" w:rsidRDefault="0067605E" w:rsidP="006C28DB">
            <w:pPr>
              <w:spacing w:line="360" w:lineRule="auto"/>
              <w:jc w:val="both"/>
            </w:pPr>
            <w:r w:rsidRPr="00B470A0">
              <w:t> </w:t>
            </w:r>
            <w:r w:rsidRPr="00B470A0">
              <w:t> </w:t>
            </w:r>
            <w:r w:rsidRPr="00B470A0">
              <w:t>(3) Ministerul Fondurilor Europene îndeplinește funcția de punct național de contact potrivit Memorandumului de înțelegere pentru implementarea Mecanismului financiar al Spațiului Economic European 2004-2009, a Memorandumului de înțelegere pentru Programul de cooperare norvegian pentru creștere economică și dezvoltare durabilă 2004-2009, potrivit Memorandumului de înțelegere privind implementarea Mecanismului financiar al Spațiului Economic European 2009-2014 și a Memorandumului de înțelegere privind implementarea Mecanismului financiar norvegian 2009-2014, precum și a Memorandumului de înțelegere privind implementarea Mecanismului financiar al Spațiului Economic European 2014-2021 și a Memorandumului de înțelegere privind implementarea Mecanismului financiar norvegian 2014-2021 și pentru programele de înfrățire instituțională și de asistență tehnică cu statele care beneficiază de finanțări nerambursabile din partea Uniunii Europene, și îndeplinește atribuțiile aferente Punctului de contact pentru implementarea Convenției privind drepturile persoanelor cu dizabilități.</w:t>
            </w:r>
          </w:p>
          <w:p w14:paraId="2A0BDB0A" w14:textId="77777777" w:rsidR="0067605E" w:rsidRPr="00B470A0" w:rsidRDefault="0067605E" w:rsidP="006C28DB">
            <w:pPr>
              <w:spacing w:line="360" w:lineRule="auto"/>
              <w:jc w:val="both"/>
            </w:pPr>
            <w:r w:rsidRPr="00B470A0">
              <w:t> </w:t>
            </w:r>
            <w:r w:rsidRPr="00B470A0">
              <w:t> </w:t>
            </w:r>
            <w:r w:rsidRPr="00B470A0">
              <w:t>(4) Ministerul Fondurilor Europene îndeplinește funcția de autoritate administrativă de înfrățire instituțională, responsabilă cu managementul administrativ și financiar al proiectelor de înfrățire instituțională în care România are rol de donator de asistență tehnică.</w:t>
            </w:r>
          </w:p>
          <w:p w14:paraId="23DED598" w14:textId="77777777" w:rsidR="0067605E" w:rsidRPr="00B470A0" w:rsidRDefault="0067605E" w:rsidP="006C28DB">
            <w:pPr>
              <w:spacing w:line="360" w:lineRule="auto"/>
              <w:jc w:val="both"/>
            </w:pPr>
            <w:r w:rsidRPr="00B470A0">
              <w:t> </w:t>
            </w:r>
            <w:r w:rsidRPr="00B470A0">
              <w:t> </w:t>
            </w:r>
            <w:r w:rsidRPr="00B470A0">
              <w:t>(5) Ministerul Fondurilor Europene îndeplinește funcția de autoritate de plată pentru Programul de cooperare elvețiano-român și organism intermediar pentru aria de concentrare tematica 6 și pentru asistența prin intermediul Facilității de pregătire a Proiectului pentru Programul de cooperare elvețiano-român.</w:t>
            </w:r>
          </w:p>
          <w:p w14:paraId="36B4DC38" w14:textId="77777777" w:rsidR="0067605E" w:rsidRPr="00B470A0" w:rsidRDefault="0067605E" w:rsidP="006C28DB">
            <w:pPr>
              <w:spacing w:line="360" w:lineRule="auto"/>
              <w:jc w:val="both"/>
            </w:pPr>
            <w:r w:rsidRPr="00B470A0">
              <w:t> </w:t>
            </w:r>
            <w:r w:rsidRPr="00B470A0">
              <w:t> </w:t>
            </w:r>
            <w:r w:rsidRPr="00B470A0">
              <w:t>(6) Ministerul Fondurilor Europene îndeplinește funcția de autoritate delegată în vederea gestionării asistenței financiare nerambursabile acordate României prin Fondul frontierelor externe și Fondul pentru Securitate Internă 2014-2020.</w:t>
            </w:r>
          </w:p>
          <w:p w14:paraId="53712C6E" w14:textId="77777777" w:rsidR="0067605E" w:rsidRPr="00B470A0" w:rsidRDefault="0067605E" w:rsidP="006C28DB">
            <w:pPr>
              <w:spacing w:line="360" w:lineRule="auto"/>
              <w:jc w:val="both"/>
            </w:pPr>
            <w:r w:rsidRPr="00B470A0">
              <w:t> </w:t>
            </w:r>
            <w:r w:rsidRPr="00B470A0">
              <w:t> </w:t>
            </w:r>
            <w:r w:rsidRPr="00B470A0">
              <w:t>(7) Ministerul Fondurilor Europene îndeplinește funcția de autoritate de contractare și plată în vederea gestionării asistenței financiare nerambursabile acordate României prin Facilitatea Schengen.</w:t>
            </w:r>
          </w:p>
          <w:p w14:paraId="37C25ADE" w14:textId="77777777" w:rsidR="0067605E" w:rsidRPr="00B470A0" w:rsidRDefault="0067605E" w:rsidP="006C28DB">
            <w:pPr>
              <w:spacing w:line="360" w:lineRule="auto"/>
              <w:jc w:val="both"/>
            </w:pPr>
            <w:r w:rsidRPr="00B470A0">
              <w:lastRenderedPageBreak/>
              <w:t> </w:t>
            </w:r>
            <w:r w:rsidRPr="00B470A0">
              <w:t> </w:t>
            </w:r>
            <w:r w:rsidRPr="00B470A0">
              <w:t>(8) În cadrul Ministerului Fondurilor Europene își desfășoară activitatea agențiile de implementare pentru programele PHARE și Facilitatea de tranziție conform memorandumurilor de finanțare.</w:t>
            </w:r>
          </w:p>
          <w:p w14:paraId="3624C77F" w14:textId="77777777" w:rsidR="0067605E" w:rsidRPr="00B470A0" w:rsidRDefault="0067605E" w:rsidP="006C28DB">
            <w:pPr>
              <w:spacing w:line="360" w:lineRule="auto"/>
              <w:jc w:val="both"/>
            </w:pPr>
            <w:r w:rsidRPr="00B470A0">
              <w:t> </w:t>
            </w:r>
            <w:r w:rsidRPr="00B470A0">
              <w:t> </w:t>
            </w:r>
            <w:r w:rsidRPr="00B470A0">
              <w:t>(9) Ministerul Investițiilor și Proiectelor Europene îndeplinește atribuția de organism intermediar pentru implementarea programelor finanțate din instrumente structurale 2007-2013, fonduri europene structurale și de investiții 2014-2020 și fonduri europene nerambursabile aferente politicii de coeziune alocate României pentru perioada de programare 2021-2027 pe care le gestionează potrivit alin. (1), prin unitățile din subordine.</w:t>
            </w:r>
          </w:p>
          <w:p w14:paraId="3C062C9A" w14:textId="77777777" w:rsidR="0067605E" w:rsidRPr="00B470A0" w:rsidRDefault="0067605E" w:rsidP="006C28DB">
            <w:pPr>
              <w:spacing w:line="360" w:lineRule="auto"/>
              <w:jc w:val="both"/>
            </w:pPr>
            <w:r w:rsidRPr="00B470A0">
              <w:t>   (10) Ministerul Fondurilor Europene îndeplinește atribuția de punct național de contact pentru romi responsabil cu monitorizarea și evaluarea implementării </w:t>
            </w:r>
            <w:bookmarkStart w:id="0" w:name="REF21"/>
            <w:bookmarkEnd w:id="0"/>
            <w:r w:rsidRPr="00B15D10">
              <w:t>Strategiei</w:t>
            </w:r>
            <w:r w:rsidRPr="00B470A0">
              <w:t> Guvernului României de incluziune a cetățenilor români aparținând minorității rome pentru perioada 2015-2020, aprobată prin </w:t>
            </w:r>
            <w:bookmarkStart w:id="1" w:name="REF22"/>
            <w:bookmarkEnd w:id="1"/>
            <w:r w:rsidRPr="00B15D10">
              <w:t>Hotărârea Guvernului nr. 18/2015</w:t>
            </w:r>
            <w:r w:rsidRPr="00B470A0">
              <w:t>, cu modificările ulterioare.</w:t>
            </w:r>
          </w:p>
          <w:p w14:paraId="53E9E523" w14:textId="77777777" w:rsidR="0067605E" w:rsidRPr="00B470A0" w:rsidRDefault="0067605E" w:rsidP="006C28DB">
            <w:pPr>
              <w:spacing w:line="360" w:lineRule="auto"/>
              <w:jc w:val="both"/>
            </w:pPr>
            <w:r w:rsidRPr="00B470A0">
              <w:t> </w:t>
            </w:r>
            <w:r w:rsidRPr="00B470A0">
              <w:t> </w:t>
            </w:r>
            <w:r w:rsidRPr="00B470A0">
              <w:t>(11) Ministerul Fondurilor Europene îndeplinește atribuția de beneficiar pentru Programul operațional „Ajutorarea persoanelor defavorizate“.</w:t>
            </w:r>
          </w:p>
          <w:p w14:paraId="4F085DB5" w14:textId="77777777" w:rsidR="0067605E" w:rsidRPr="00B470A0" w:rsidRDefault="0067605E" w:rsidP="006C28DB">
            <w:pPr>
              <w:spacing w:line="360" w:lineRule="auto"/>
              <w:jc w:val="both"/>
            </w:pPr>
            <w:r w:rsidRPr="00B470A0">
              <w:t> </w:t>
            </w:r>
            <w:r w:rsidRPr="00B470A0">
              <w:t> </w:t>
            </w:r>
            <w:r w:rsidRPr="00B470A0">
              <w:t>(12) Ministerul Investițiilor și Proiectelor Europene îndeplinește funcțiile rezultate din calitatea de coordonator național pentru elaborarea, negocierea, aprobarea, implementarea, monitorizarea și controlul fondurilor acordate în cadrul Mecanismului de redresare și reziliență.</w:t>
            </w:r>
          </w:p>
          <w:p w14:paraId="0EFFDB79" w14:textId="77777777" w:rsidR="0067605E" w:rsidRPr="00B470A0" w:rsidRDefault="0067605E" w:rsidP="006C28DB">
            <w:pPr>
              <w:spacing w:line="360" w:lineRule="auto"/>
              <w:jc w:val="both"/>
            </w:pPr>
            <w:r w:rsidRPr="00B470A0">
              <w:t> </w:t>
            </w:r>
            <w:r w:rsidRPr="00B470A0">
              <w:t> </w:t>
            </w:r>
            <w:r w:rsidRPr="00B470A0">
              <w:t>(13) Ministerul Investițiilor și Proiectelor Europene îndeplinește funcțiile rezultate din calitatea de coordonator de investiții în cadrul Planului național de redresare și reziliență al României.</w:t>
            </w:r>
          </w:p>
          <w:p w14:paraId="089367F5" w14:textId="77777777" w:rsidR="0067605E" w:rsidRPr="00B470A0" w:rsidRDefault="0067605E" w:rsidP="006C28DB">
            <w:pPr>
              <w:spacing w:line="360" w:lineRule="auto"/>
              <w:jc w:val="both"/>
            </w:pPr>
            <w:r w:rsidRPr="00B470A0">
              <w:t> </w:t>
            </w:r>
            <w:r w:rsidRPr="00B470A0">
              <w:t> </w:t>
            </w:r>
            <w:r w:rsidRPr="00B470A0">
              <w:t>(14) Ministerul Investițiilor și Proiectelor Europene exercită funcțiile agenției de implementare și îndeplinește atribuțiile aferente acesteia, pentru componentele de investiții din Planul național de redresare și reziliență al României:</w:t>
            </w:r>
          </w:p>
          <w:p w14:paraId="1A07E1EC" w14:textId="77777777" w:rsidR="0067605E" w:rsidRPr="00B470A0" w:rsidRDefault="0067605E" w:rsidP="006C28DB">
            <w:pPr>
              <w:spacing w:line="360" w:lineRule="auto"/>
              <w:jc w:val="both"/>
            </w:pPr>
            <w:r w:rsidRPr="00B470A0">
              <w:t> </w:t>
            </w:r>
            <w:r w:rsidRPr="00B470A0">
              <w:t> </w:t>
            </w:r>
            <w:r w:rsidRPr="00B470A0">
              <w:t>a) componenta 1 - Managementul apei, investiția 1. Extinderea sistemelor de apă și canalizare în aglomerări mai mari de 2.000 de locuitori echivalenți, prioritizate prin Planul accelerat de conformare cu directivele europene;</w:t>
            </w:r>
          </w:p>
          <w:p w14:paraId="3B72CBE3" w14:textId="77777777" w:rsidR="0067605E" w:rsidRDefault="0067605E" w:rsidP="006C28DB">
            <w:pPr>
              <w:spacing w:line="360" w:lineRule="auto"/>
              <w:jc w:val="both"/>
            </w:pPr>
            <w:r w:rsidRPr="00B470A0">
              <w:t> </w:t>
            </w:r>
            <w:r w:rsidRPr="00B470A0">
              <w:t> </w:t>
            </w:r>
            <w:r w:rsidRPr="00B470A0">
              <w:t>b) componenta 11 - Turism și cultură, cu următoarele investiții: investiția 1. Promovarea celor 12 rute turistice/culturale și investiția 2. Modernizarea/Crearea de muzee și memoriale.</w:t>
            </w:r>
          </w:p>
          <w:p w14:paraId="5774BD57" w14:textId="77777777" w:rsidR="00B470A0" w:rsidRDefault="00B470A0" w:rsidP="006C28DB">
            <w:pPr>
              <w:spacing w:line="360" w:lineRule="auto"/>
              <w:jc w:val="both"/>
            </w:pPr>
          </w:p>
          <w:p w14:paraId="2BE99ABD" w14:textId="4E24FFA1" w:rsidR="00B470A0" w:rsidRDefault="00B470A0" w:rsidP="006C28DB">
            <w:pPr>
              <w:spacing w:line="360" w:lineRule="auto"/>
              <w:jc w:val="both"/>
            </w:pPr>
            <w:r>
              <w:t xml:space="preserve">Ministerul </w:t>
            </w:r>
            <w:r w:rsidRPr="00B470A0">
              <w:t>Investi</w:t>
            </w:r>
            <w:r w:rsidR="00721F71">
              <w:t>ț</w:t>
            </w:r>
            <w:r w:rsidRPr="00B470A0">
              <w:t xml:space="preserve">iilor si Proiectelor Europene </w:t>
            </w:r>
            <w:r>
              <w:t xml:space="preserve"> are calitatea </w:t>
            </w:r>
            <w:r w:rsidRPr="00B470A0">
              <w:t>de instituție publică centrală res</w:t>
            </w:r>
            <w:r>
              <w:t>ponsabilă cu implementarea PNRR în raport cu</w:t>
            </w:r>
            <w:r w:rsidRPr="00B470A0">
              <w:t xml:space="preserve"> obiectivele asumate de Guv</w:t>
            </w:r>
            <w:r>
              <w:t>ern în fața Comisiei Europene.</w:t>
            </w:r>
          </w:p>
          <w:p w14:paraId="5D0089CC" w14:textId="77777777" w:rsidR="00160F88" w:rsidRPr="00B470A0" w:rsidRDefault="00160F88" w:rsidP="006C28DB">
            <w:pPr>
              <w:spacing w:line="360" w:lineRule="auto"/>
              <w:jc w:val="both"/>
            </w:pPr>
          </w:p>
          <w:p w14:paraId="3BE20A45" w14:textId="5FF0BCD3" w:rsidR="00B470A0" w:rsidRPr="002A79BF" w:rsidRDefault="00B470A0" w:rsidP="006C28DB">
            <w:pPr>
              <w:spacing w:line="360" w:lineRule="auto"/>
              <w:jc w:val="both"/>
              <w:rPr>
                <w:color w:val="000000" w:themeColor="text1"/>
              </w:rPr>
            </w:pPr>
            <w:r w:rsidRPr="00B470A0">
              <w:t>În exercitarea rolului de coordonator na</w:t>
            </w:r>
            <w:r w:rsidR="00721F71">
              <w:t>ț</w:t>
            </w:r>
            <w:r w:rsidRPr="00B470A0">
              <w:t xml:space="preserve">ional MIPE îndeplinește atribuțiile </w:t>
            </w:r>
            <w:r>
              <w:t xml:space="preserve">generale și specifice rezultate din calitatea de coordonator național pentru elaborarea, negocierea, aprobarea, implementarea, monitorizarea și controlul fondurilor acordate in cadrul Mecanismului de redresare și reziliență, </w:t>
            </w:r>
            <w:r>
              <w:rPr>
                <w:color w:val="000000" w:themeColor="text1"/>
              </w:rPr>
              <w:t>în conformitate cu prevederile</w:t>
            </w:r>
            <w:r w:rsidRPr="00BC2253">
              <w:rPr>
                <w:color w:val="000000" w:themeColor="text1"/>
              </w:rPr>
              <w:t xml:space="preserve"> la art.5 alin.(3) din Ordonanța de urgență a Guvernului nr. 124/2021 privind </w:t>
            </w:r>
            <w:r w:rsidRPr="00BC2253">
              <w:rPr>
                <w:color w:val="000000" w:themeColor="text1"/>
              </w:rPr>
              <w:lastRenderedPageBreak/>
              <w:t>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0AF3F92E" w14:textId="76A4EC26" w:rsidR="00CF5ACA" w:rsidRDefault="00B470A0" w:rsidP="006C28DB">
            <w:pPr>
              <w:spacing w:line="360" w:lineRule="auto"/>
              <w:jc w:val="both"/>
            </w:pPr>
            <w:r w:rsidRPr="00B470A0">
              <w:t xml:space="preserve">De asemenea, </w:t>
            </w:r>
            <w:r w:rsidR="002863AE">
              <w:t xml:space="preserve">este desemnat coordonator de </w:t>
            </w:r>
            <w:r w:rsidRPr="00B470A0">
              <w:t xml:space="preserve">investiții </w:t>
            </w:r>
            <w:r w:rsidR="002863AE">
              <w:t>în cadrul Planului Național de Redresare și Reziliență al României, în conformitate cu prevederile</w:t>
            </w:r>
            <w:r w:rsidRPr="00B470A0">
              <w:t xml:space="preserve"> art.6 alin.(1) din O</w:t>
            </w:r>
            <w:r w:rsidR="002863AE">
              <w:t>.</w:t>
            </w:r>
            <w:r w:rsidRPr="00B470A0">
              <w:t>U</w:t>
            </w:r>
            <w:r w:rsidR="002863AE">
              <w:t>.</w:t>
            </w:r>
            <w:r w:rsidRPr="00B470A0">
              <w:t>G nr.124/2021</w:t>
            </w:r>
            <w:r w:rsidR="00D70A32">
              <w:t>.</w:t>
            </w:r>
          </w:p>
          <w:p w14:paraId="2B3F4325" w14:textId="6AACBBFD" w:rsidR="00CF5ACA" w:rsidRPr="009107E6" w:rsidRDefault="00CF5ACA" w:rsidP="006C28DB">
            <w:pPr>
              <w:spacing w:line="360" w:lineRule="auto"/>
              <w:jc w:val="both"/>
              <w:rPr>
                <w:color w:val="000000" w:themeColor="text1"/>
              </w:rPr>
            </w:pPr>
            <w:r>
              <w:rPr>
                <w:color w:val="000000" w:themeColor="text1"/>
              </w:rPr>
              <w:t xml:space="preserve">Având în vedere noile programe operaționale gestionate  </w:t>
            </w:r>
            <w:r w:rsidR="00554DB8">
              <w:rPr>
                <w:color w:val="000000" w:themeColor="text1"/>
              </w:rPr>
              <w:t>Ministerul Investi</w:t>
            </w:r>
            <w:r w:rsidR="00721F71">
              <w:rPr>
                <w:color w:val="000000" w:themeColor="text1"/>
              </w:rPr>
              <w:t>ț</w:t>
            </w:r>
            <w:r w:rsidR="00554DB8">
              <w:rPr>
                <w:color w:val="000000" w:themeColor="text1"/>
              </w:rPr>
              <w:t>iilor ș</w:t>
            </w:r>
            <w:r w:rsidRPr="009107E6">
              <w:rPr>
                <w:color w:val="000000" w:themeColor="text1"/>
              </w:rPr>
              <w:t>i Proiect</w:t>
            </w:r>
            <w:r>
              <w:rPr>
                <w:color w:val="000000" w:themeColor="text1"/>
              </w:rPr>
              <w:t>elor Europene are funcț</w:t>
            </w:r>
            <w:r w:rsidRPr="009107E6">
              <w:rPr>
                <w:color w:val="000000" w:themeColor="text1"/>
              </w:rPr>
              <w:t>ie de autoritate de management pentru:</w:t>
            </w:r>
          </w:p>
          <w:p w14:paraId="34FFB34A" w14:textId="575EC631" w:rsidR="00CF5ACA" w:rsidRPr="009107E6" w:rsidRDefault="00CF5ACA" w:rsidP="00B956B6">
            <w:pPr>
              <w:pStyle w:val="ListParagraph"/>
              <w:numPr>
                <w:ilvl w:val="0"/>
                <w:numId w:val="38"/>
              </w:numPr>
              <w:spacing w:line="360" w:lineRule="auto"/>
              <w:jc w:val="both"/>
              <w:rPr>
                <w:color w:val="000000" w:themeColor="text1"/>
              </w:rPr>
            </w:pPr>
            <w:r w:rsidRPr="009107E6">
              <w:rPr>
                <w:color w:val="000000" w:themeColor="text1"/>
              </w:rPr>
              <w:t>Programul Opera</w:t>
            </w:r>
            <w:r w:rsidR="00721F71">
              <w:rPr>
                <w:color w:val="000000" w:themeColor="text1"/>
              </w:rPr>
              <w:t>ț</w:t>
            </w:r>
            <w:r w:rsidRPr="009107E6">
              <w:rPr>
                <w:color w:val="000000" w:themeColor="text1"/>
              </w:rPr>
              <w:t>ional Dezvoltare Durabila (PODD)</w:t>
            </w:r>
          </w:p>
          <w:p w14:paraId="508DF759" w14:textId="105E23E8" w:rsidR="00CF5ACA" w:rsidRPr="009107E6" w:rsidRDefault="00CF5ACA" w:rsidP="00B956B6">
            <w:pPr>
              <w:pStyle w:val="ListParagraph"/>
              <w:numPr>
                <w:ilvl w:val="0"/>
                <w:numId w:val="38"/>
              </w:numPr>
              <w:spacing w:line="360" w:lineRule="auto"/>
              <w:jc w:val="both"/>
              <w:rPr>
                <w:color w:val="000000" w:themeColor="text1"/>
              </w:rPr>
            </w:pPr>
            <w:r w:rsidRPr="009107E6">
              <w:rPr>
                <w:color w:val="000000" w:themeColor="text1"/>
              </w:rPr>
              <w:t>Programul Opera</w:t>
            </w:r>
            <w:r w:rsidR="00721F71">
              <w:rPr>
                <w:color w:val="000000" w:themeColor="text1"/>
              </w:rPr>
              <w:t>ț</w:t>
            </w:r>
            <w:r w:rsidRPr="009107E6">
              <w:rPr>
                <w:color w:val="000000" w:themeColor="text1"/>
              </w:rPr>
              <w:t>ional Cre</w:t>
            </w:r>
            <w:r w:rsidR="00721F71">
              <w:rPr>
                <w:color w:val="000000" w:themeColor="text1"/>
              </w:rPr>
              <w:t>ș</w:t>
            </w:r>
            <w:r w:rsidRPr="009107E6">
              <w:rPr>
                <w:color w:val="000000" w:themeColor="text1"/>
              </w:rPr>
              <w:t>terea Inteligenta, Digitalizare si Instrumente Financiare (POCIDIF)</w:t>
            </w:r>
          </w:p>
          <w:p w14:paraId="7156E686" w14:textId="025020AD" w:rsidR="00CF5ACA" w:rsidRPr="009107E6" w:rsidRDefault="00CF5ACA" w:rsidP="00B956B6">
            <w:pPr>
              <w:pStyle w:val="ListParagraph"/>
              <w:numPr>
                <w:ilvl w:val="0"/>
                <w:numId w:val="38"/>
              </w:numPr>
              <w:spacing w:line="360" w:lineRule="auto"/>
              <w:jc w:val="both"/>
              <w:rPr>
                <w:color w:val="000000" w:themeColor="text1"/>
              </w:rPr>
            </w:pPr>
            <w:r w:rsidRPr="009107E6">
              <w:rPr>
                <w:color w:val="000000" w:themeColor="text1"/>
              </w:rPr>
              <w:t>Programul Opera</w:t>
            </w:r>
            <w:r w:rsidR="00721F71">
              <w:rPr>
                <w:color w:val="000000" w:themeColor="text1"/>
              </w:rPr>
              <w:t>ț</w:t>
            </w:r>
            <w:r w:rsidRPr="009107E6">
              <w:rPr>
                <w:color w:val="000000" w:themeColor="text1"/>
              </w:rPr>
              <w:t>ional S</w:t>
            </w:r>
            <w:r w:rsidR="00721F71">
              <w:rPr>
                <w:color w:val="000000" w:themeColor="text1"/>
              </w:rPr>
              <w:t>ă</w:t>
            </w:r>
            <w:r w:rsidRPr="009107E6">
              <w:rPr>
                <w:color w:val="000000" w:themeColor="text1"/>
              </w:rPr>
              <w:t>n</w:t>
            </w:r>
            <w:r w:rsidR="00721F71">
              <w:rPr>
                <w:color w:val="000000" w:themeColor="text1"/>
              </w:rPr>
              <w:t>ă</w:t>
            </w:r>
            <w:r w:rsidRPr="009107E6">
              <w:rPr>
                <w:color w:val="000000" w:themeColor="text1"/>
              </w:rPr>
              <w:t>tate (POS)</w:t>
            </w:r>
          </w:p>
          <w:p w14:paraId="2DD690AD" w14:textId="552ED801" w:rsidR="00CF5ACA" w:rsidRPr="009107E6" w:rsidRDefault="00CF5ACA" w:rsidP="00B956B6">
            <w:pPr>
              <w:pStyle w:val="ListParagraph"/>
              <w:numPr>
                <w:ilvl w:val="0"/>
                <w:numId w:val="38"/>
              </w:numPr>
              <w:spacing w:line="360" w:lineRule="auto"/>
              <w:jc w:val="both"/>
              <w:rPr>
                <w:color w:val="000000" w:themeColor="text1"/>
              </w:rPr>
            </w:pPr>
            <w:r w:rsidRPr="009107E6">
              <w:rPr>
                <w:color w:val="000000" w:themeColor="text1"/>
              </w:rPr>
              <w:t>Programul Opera</w:t>
            </w:r>
            <w:r w:rsidR="00721F71">
              <w:rPr>
                <w:color w:val="000000" w:themeColor="text1"/>
              </w:rPr>
              <w:t>ț</w:t>
            </w:r>
            <w:r w:rsidRPr="009107E6">
              <w:rPr>
                <w:color w:val="000000" w:themeColor="text1"/>
              </w:rPr>
              <w:t>ional Educa</w:t>
            </w:r>
            <w:r w:rsidR="00721F71">
              <w:rPr>
                <w:color w:val="000000" w:themeColor="text1"/>
              </w:rPr>
              <w:t>ț</w:t>
            </w:r>
            <w:r w:rsidRPr="009107E6">
              <w:rPr>
                <w:color w:val="000000" w:themeColor="text1"/>
              </w:rPr>
              <w:t>ie si Ocupare (POEO)</w:t>
            </w:r>
          </w:p>
          <w:p w14:paraId="1B790934" w14:textId="5BD1BDB2" w:rsidR="00CF5ACA" w:rsidRPr="009107E6" w:rsidRDefault="00CF5ACA" w:rsidP="00B956B6">
            <w:pPr>
              <w:pStyle w:val="ListParagraph"/>
              <w:numPr>
                <w:ilvl w:val="0"/>
                <w:numId w:val="38"/>
              </w:numPr>
              <w:spacing w:line="360" w:lineRule="auto"/>
              <w:jc w:val="both"/>
              <w:rPr>
                <w:color w:val="000000" w:themeColor="text1"/>
              </w:rPr>
            </w:pPr>
            <w:r w:rsidRPr="009107E6">
              <w:rPr>
                <w:color w:val="000000" w:themeColor="text1"/>
              </w:rPr>
              <w:t>Programul Opera</w:t>
            </w:r>
            <w:r w:rsidR="00721F71">
              <w:rPr>
                <w:color w:val="000000" w:themeColor="text1"/>
              </w:rPr>
              <w:t>ț</w:t>
            </w:r>
            <w:r w:rsidRPr="009107E6">
              <w:rPr>
                <w:color w:val="000000" w:themeColor="text1"/>
              </w:rPr>
              <w:t xml:space="preserve">ional Incluziune </w:t>
            </w:r>
            <w:r w:rsidR="00721F71">
              <w:rPr>
                <w:color w:val="000000" w:themeColor="text1"/>
              </w:rPr>
              <w:t>ș</w:t>
            </w:r>
            <w:r w:rsidRPr="009107E6">
              <w:rPr>
                <w:color w:val="000000" w:themeColor="text1"/>
              </w:rPr>
              <w:t>i Demnitate Sociala (POIDS)</w:t>
            </w:r>
          </w:p>
          <w:p w14:paraId="0D62C6E4" w14:textId="4D2290AB" w:rsidR="00CF5ACA" w:rsidRPr="009107E6" w:rsidRDefault="00CF5ACA" w:rsidP="00B956B6">
            <w:pPr>
              <w:pStyle w:val="ListParagraph"/>
              <w:numPr>
                <w:ilvl w:val="0"/>
                <w:numId w:val="38"/>
              </w:numPr>
              <w:spacing w:line="360" w:lineRule="auto"/>
              <w:jc w:val="both"/>
              <w:rPr>
                <w:color w:val="000000" w:themeColor="text1"/>
              </w:rPr>
            </w:pPr>
            <w:r>
              <w:rPr>
                <w:color w:val="000000" w:themeColor="text1"/>
              </w:rPr>
              <w:t>Programul Opera</w:t>
            </w:r>
            <w:r w:rsidR="00721F71">
              <w:rPr>
                <w:color w:val="000000" w:themeColor="text1"/>
              </w:rPr>
              <w:t>ț</w:t>
            </w:r>
            <w:r>
              <w:rPr>
                <w:color w:val="000000" w:themeColor="text1"/>
              </w:rPr>
              <w:t>ional Asistență Tehnică</w:t>
            </w:r>
            <w:r w:rsidRPr="009107E6">
              <w:rPr>
                <w:color w:val="000000" w:themeColor="text1"/>
              </w:rPr>
              <w:t xml:space="preserve"> (POAT)</w:t>
            </w:r>
          </w:p>
          <w:p w14:paraId="3E04A34C" w14:textId="32D3F132" w:rsidR="0067605E" w:rsidRPr="0023452B" w:rsidRDefault="00CF5ACA" w:rsidP="00B956B6">
            <w:pPr>
              <w:pStyle w:val="ListParagraph"/>
              <w:numPr>
                <w:ilvl w:val="0"/>
                <w:numId w:val="38"/>
              </w:numPr>
              <w:spacing w:line="360" w:lineRule="auto"/>
              <w:jc w:val="both"/>
              <w:rPr>
                <w:color w:val="000000" w:themeColor="text1"/>
              </w:rPr>
            </w:pPr>
            <w:r w:rsidRPr="009107E6">
              <w:rPr>
                <w:color w:val="000000" w:themeColor="text1"/>
              </w:rPr>
              <w:t>Programul Opera</w:t>
            </w:r>
            <w:r w:rsidR="00721F71">
              <w:rPr>
                <w:color w:val="000000" w:themeColor="text1"/>
              </w:rPr>
              <w:t>ț</w:t>
            </w:r>
            <w:r w:rsidRPr="009107E6">
              <w:rPr>
                <w:color w:val="000000" w:themeColor="text1"/>
              </w:rPr>
              <w:t xml:space="preserve">ional </w:t>
            </w:r>
            <w:r>
              <w:rPr>
                <w:color w:val="000000" w:themeColor="text1"/>
              </w:rPr>
              <w:t>pentru Tranziț</w:t>
            </w:r>
            <w:r w:rsidRPr="009107E6">
              <w:rPr>
                <w:color w:val="000000" w:themeColor="text1"/>
              </w:rPr>
              <w:t>ia</w:t>
            </w:r>
            <w:r>
              <w:rPr>
                <w:color w:val="000000" w:themeColor="text1"/>
              </w:rPr>
              <w:t xml:space="preserve"> Justă</w:t>
            </w:r>
            <w:r w:rsidRPr="009107E6">
              <w:rPr>
                <w:color w:val="000000" w:themeColor="text1"/>
              </w:rPr>
              <w:t>.</w:t>
            </w:r>
          </w:p>
          <w:p w14:paraId="00A4BEC5" w14:textId="3414C5B6" w:rsidR="0081790A" w:rsidRDefault="008F160B" w:rsidP="006C28DB">
            <w:pPr>
              <w:spacing w:line="360" w:lineRule="auto"/>
              <w:jc w:val="both"/>
            </w:pPr>
            <w:r>
              <w:t xml:space="preserve">De asemenea la art. 9 </w:t>
            </w:r>
            <w:r w:rsidR="00F63717" w:rsidRPr="00BE705A">
              <w:t xml:space="preserve"> alin. (1) </w:t>
            </w:r>
            <w:r>
              <w:t xml:space="preserve">și alin.(2) </w:t>
            </w:r>
            <w:r w:rsidR="00F63717" w:rsidRPr="00BE705A">
              <w:t>din Hotărârea Guvernului nr. 52/2018, cu modificările</w:t>
            </w:r>
            <w:r w:rsidR="00AF06DB">
              <w:t xml:space="preserve"> și completările</w:t>
            </w:r>
            <w:r w:rsidR="00F63717" w:rsidRPr="00BE705A">
              <w:t xml:space="preserve"> ulterioare, </w:t>
            </w:r>
            <w:r>
              <w:t>este stabilită structura organizatorica a Ministerului Investițiilor și Proiectelor Europene (anexa nr.1), precum și numărul maxim de posturi</w:t>
            </w:r>
            <w:r w:rsidR="00AF06DB">
              <w:t xml:space="preserve"> pentru aparatul pro</w:t>
            </w:r>
            <w:r>
              <w:t>priu al ministerului și al</w:t>
            </w:r>
            <w:r w:rsidR="00AF06DB">
              <w:t xml:space="preserve"> unităților subordonate</w:t>
            </w:r>
            <w:r>
              <w:t xml:space="preserve"> alocat </w:t>
            </w:r>
            <w:r w:rsidR="00AF06DB">
              <w:t>ministerului (1943 posturi)</w:t>
            </w:r>
            <w:r w:rsidR="00A526EA">
              <w:t>.</w:t>
            </w:r>
            <w:r w:rsidR="00B62488">
              <w:t xml:space="preserve"> </w:t>
            </w:r>
          </w:p>
          <w:p w14:paraId="1BF1AAD1" w14:textId="65FE65E8" w:rsidR="00B62488" w:rsidRDefault="00B62488" w:rsidP="006C28DB">
            <w:pPr>
              <w:spacing w:line="360" w:lineRule="auto"/>
              <w:jc w:val="both"/>
            </w:pPr>
            <w:r>
              <w:t>De asemenea Ministerul Investi</w:t>
            </w:r>
            <w:r w:rsidR="00721F71">
              <w:t>ț</w:t>
            </w:r>
            <w:r>
              <w:t xml:space="preserve">iilor </w:t>
            </w:r>
            <w:r w:rsidR="00721F71">
              <w:t>ș</w:t>
            </w:r>
            <w:r>
              <w:t xml:space="preserve">i Proiectelor Europene are </w:t>
            </w:r>
            <w:r w:rsidR="00721F71">
              <w:t>î</w:t>
            </w:r>
            <w:r>
              <w:t>n dotare, pentru activit</w:t>
            </w:r>
            <w:r w:rsidR="00721F71">
              <w:t>ăț</w:t>
            </w:r>
            <w:r>
              <w:t>i specifice desf</w:t>
            </w:r>
            <w:r w:rsidR="00721F71">
              <w:t>ăș</w:t>
            </w:r>
            <w:r>
              <w:t>urate, un num</w:t>
            </w:r>
            <w:r w:rsidR="00721F71">
              <w:t>ă</w:t>
            </w:r>
            <w:r>
              <w:t>r de 70 autoturisme. Consumul lunar de carburan</w:t>
            </w:r>
            <w:r w:rsidR="00721F71">
              <w:t>ț</w:t>
            </w:r>
            <w:r>
              <w:t>i se aprob</w:t>
            </w:r>
            <w:r w:rsidR="00721F71">
              <w:t>ă</w:t>
            </w:r>
            <w:r>
              <w:t xml:space="preserve"> prin ordin al ministrului investi</w:t>
            </w:r>
            <w:r w:rsidR="00721F71">
              <w:t>ț</w:t>
            </w:r>
            <w:r>
              <w:t xml:space="preserve">iilor </w:t>
            </w:r>
            <w:r w:rsidR="00721F71">
              <w:t>ș</w:t>
            </w:r>
            <w:r>
              <w:t xml:space="preserve">i proiectelor europene, pe categorii de utilizatori, </w:t>
            </w:r>
            <w:r w:rsidR="00721F71">
              <w:t>î</w:t>
            </w:r>
            <w:r>
              <w:t>n condi</w:t>
            </w:r>
            <w:r w:rsidR="00721F71">
              <w:t>ț</w:t>
            </w:r>
            <w:r>
              <w:t>iile legii.</w:t>
            </w:r>
          </w:p>
          <w:p w14:paraId="2CFCEDC0" w14:textId="77777777" w:rsidR="00B470A0" w:rsidRPr="0081790A" w:rsidRDefault="00B470A0" w:rsidP="006C28DB">
            <w:pPr>
              <w:spacing w:line="360" w:lineRule="auto"/>
              <w:jc w:val="both"/>
            </w:pPr>
          </w:p>
          <w:p w14:paraId="45F1A0F5" w14:textId="26D1E42A" w:rsidR="00844327" w:rsidRPr="0023452B" w:rsidRDefault="00223491" w:rsidP="006C28DB">
            <w:pPr>
              <w:spacing w:line="360" w:lineRule="auto"/>
              <w:jc w:val="both"/>
              <w:rPr>
                <w:b/>
              </w:rPr>
            </w:pPr>
            <w:r w:rsidRPr="00B470A0">
              <w:rPr>
                <w:b/>
              </w:rPr>
              <w:t>2.3 Schimbări preconizate</w:t>
            </w:r>
          </w:p>
          <w:p w14:paraId="0BAE026C" w14:textId="5063F72D" w:rsidR="00587807" w:rsidRDefault="00844327" w:rsidP="006C28DB">
            <w:pPr>
              <w:spacing w:line="360" w:lineRule="auto"/>
              <w:jc w:val="both"/>
            </w:pPr>
            <w:r>
              <w:t xml:space="preserve">Prin Ordonanța de Urgență </w:t>
            </w:r>
            <w:r w:rsidR="001555A4" w:rsidRPr="001555A4">
              <w:t>a Guvernului</w:t>
            </w:r>
            <w:r w:rsidR="001555A4" w:rsidRPr="001338CB">
              <w:t xml:space="preserve"> nr.170 din 8 decembrie 2022 </w:t>
            </w:r>
            <w:r w:rsidRPr="001555A4">
              <w:t xml:space="preserve"> </w:t>
            </w:r>
            <w:r w:rsidR="00156180">
              <w:t xml:space="preserve">publicată în Monitorul Oficial al </w:t>
            </w:r>
            <w:r w:rsidR="00156180" w:rsidRPr="001555A4">
              <w:t>României</w:t>
            </w:r>
            <w:r w:rsidR="001555A4" w:rsidRPr="001338CB">
              <w:t xml:space="preserve"> nr.1192/12.XII.2022</w:t>
            </w:r>
            <w:r w:rsidR="001555A4">
              <w:t xml:space="preserve"> </w:t>
            </w:r>
            <w:r w:rsidR="00156180">
              <w:t xml:space="preserve">se stabilesc unele </w:t>
            </w:r>
            <w:r>
              <w:t>măsuri pentru consolidarea capacității administrative a Ministerului Investițiilor și Proiectelor Europene de gestionare a programelor operaționale pentru pe</w:t>
            </w:r>
            <w:r w:rsidR="000A1EA6">
              <w:t>rioada de programare 2021-2027</w:t>
            </w:r>
            <w:r w:rsidR="00587807">
              <w:t>.</w:t>
            </w:r>
          </w:p>
          <w:p w14:paraId="4670E400" w14:textId="6B98618D" w:rsidR="00BB3E3B" w:rsidRPr="00BB3E3B" w:rsidRDefault="00C874A3" w:rsidP="006C28DB">
            <w:pPr>
              <w:spacing w:line="360" w:lineRule="auto"/>
              <w:jc w:val="both"/>
            </w:pPr>
            <w:r>
              <w:t xml:space="preserve">Aprobarea acestui act normativ a avut în vedere </w:t>
            </w:r>
            <w:r w:rsidRPr="00C874A3">
              <w:t>necesitatea operaționalizării unei capacități administrative complexe, în contextul în care intervențiile finanțate din programele operaționale înglobează și măsuri de ti</w:t>
            </w:r>
            <w:r w:rsidR="00CD61C1">
              <w:t>pul celor finanțate din Fondul Social E</w:t>
            </w:r>
            <w:r w:rsidRPr="00C874A3">
              <w:t>uropean Plus și din Fondul European de Dezvoltare Regională, inclusiv o abordare multifond și operațiuni de importanță strategică națională</w:t>
            </w:r>
            <w:r w:rsidR="00C631F9">
              <w:t xml:space="preserve">, necesitatea de a asigura cadrul </w:t>
            </w:r>
            <w:r w:rsidR="00C631F9">
              <w:lastRenderedPageBreak/>
              <w:t>legal și instituțional la nivel național</w:t>
            </w:r>
            <w:r w:rsidR="00BB3E3B">
              <w:t xml:space="preserve"> și totodată de a nu se genera în</w:t>
            </w:r>
            <w:r w:rsidR="00721F71">
              <w:t>t</w:t>
            </w:r>
            <w:r w:rsidR="00BB3E3B">
              <w:t xml:space="preserve">ârzieri în implementarea programelor </w:t>
            </w:r>
            <w:r w:rsidR="00BB3E3B" w:rsidRPr="00BB3E3B">
              <w:t xml:space="preserve">operaționale din domeniul sănătății și a tranziției juste, cu impact asupra gradului de absorbție a fondurilor externe nerambursabile alocate României în perioada de programare 2021-2027, </w:t>
            </w:r>
          </w:p>
          <w:p w14:paraId="5B5325DA" w14:textId="77777777" w:rsidR="00BF17E8" w:rsidRDefault="000A1EA6" w:rsidP="006C28DB">
            <w:pPr>
              <w:spacing w:line="360" w:lineRule="auto"/>
              <w:jc w:val="both"/>
            </w:pPr>
            <w:r>
              <w:t xml:space="preserve">Astfel, potrivit prevederilor art.1 din Ordonanța de Urgență </w:t>
            </w:r>
            <w:r w:rsidRPr="001555A4">
              <w:t>a Guvernului</w:t>
            </w:r>
            <w:r w:rsidRPr="001338CB">
              <w:t xml:space="preserve"> nr.170 din 8 decembrie 2022 </w:t>
            </w:r>
            <w:r>
              <w:t>privind aprobarea unor măsuri pentru consolidarea capacității administrative a Ministerului Investițiilor și Proiectelor Europene de gestionare a programelor operaționale pentru perioada de programare 2021-2027</w:t>
            </w:r>
            <w:r w:rsidR="00871F52">
              <w:t>, Ministerul Investițiilor și Proiectelor Europene, se reorganizează prin preluarea de la Ministerul Dezvoltării, Lucrărilor Publice și Administrației, a Direcției generale programe europene capacitate administrativă și a Direcției generale Programul operațional regional, precum și a activității, structurii și a personalului acestora.</w:t>
            </w:r>
          </w:p>
          <w:p w14:paraId="6A5925DE" w14:textId="18634BE2" w:rsidR="00C874A3" w:rsidRDefault="00BF17E8" w:rsidP="006C28DB">
            <w:pPr>
              <w:spacing w:line="360" w:lineRule="auto"/>
              <w:jc w:val="both"/>
            </w:pPr>
            <w:r>
              <w:t xml:space="preserve">Astfel, Ministerul Investițiilor și Proiectelor Europene va îndeplini funcția de autoritate de management pentru Programul operațional </w:t>
            </w:r>
            <w:r>
              <w:rPr>
                <w:lang w:val="en-US"/>
              </w:rPr>
              <w:t xml:space="preserve">“ </w:t>
            </w:r>
            <w:r>
              <w:t>Dezvoltarea capacității administrative</w:t>
            </w:r>
            <w:r>
              <w:rPr>
                <w:lang w:val="en-US"/>
              </w:rPr>
              <w:t>”</w:t>
            </w:r>
            <w:r w:rsidR="000A1EA6">
              <w:t xml:space="preserve"> </w:t>
            </w:r>
            <w:r>
              <w:t xml:space="preserve">, Programul operațional </w:t>
            </w:r>
            <w:r>
              <w:rPr>
                <w:lang w:val="en-US"/>
              </w:rPr>
              <w:t>“</w:t>
            </w:r>
            <w:r>
              <w:t>Capacitate administrativă</w:t>
            </w:r>
            <w:r>
              <w:rPr>
                <w:lang w:val="en-US"/>
              </w:rPr>
              <w:t>”</w:t>
            </w:r>
            <w:r>
              <w:t xml:space="preserve"> și pentru Programul operațional regional, aferent perioadelor de programare 2007-2013 și 2014-2020</w:t>
            </w:r>
          </w:p>
          <w:p w14:paraId="22B29B0F" w14:textId="41026940" w:rsidR="00833A62" w:rsidRDefault="006A05F8" w:rsidP="006A05F8">
            <w:pPr>
              <w:spacing w:line="360" w:lineRule="auto"/>
              <w:jc w:val="both"/>
            </w:pPr>
            <w:r>
              <w:t xml:space="preserve">De asemenea potrivit prevederilor art.7 din Ordonanța de Urgență </w:t>
            </w:r>
            <w:r w:rsidRPr="001555A4">
              <w:t>a Guvernului</w:t>
            </w:r>
            <w:r w:rsidRPr="001338CB">
              <w:t xml:space="preserve"> nr.170 din 8 decembrie 2022</w:t>
            </w:r>
            <w:r>
              <w:t xml:space="preserve"> la nivelul</w:t>
            </w:r>
            <w:r w:rsidR="00833A62">
              <w:t xml:space="preserve"> </w:t>
            </w:r>
            <w:r>
              <w:t>Minis</w:t>
            </w:r>
            <w:r w:rsidR="00833A62">
              <w:t>terului Investițiilor și Proiectelor Europene se î</w:t>
            </w:r>
            <w:r w:rsidR="006B62C0" w:rsidRPr="006B62C0">
              <w:t xml:space="preserve">nființarea </w:t>
            </w:r>
            <w:r w:rsidR="00833A62">
              <w:t>Direcția asistență gestionare programe operaționale r</w:t>
            </w:r>
            <w:r w:rsidR="00517CC4" w:rsidRPr="00922566">
              <w:t>egionale</w:t>
            </w:r>
            <w:r w:rsidR="006B62C0" w:rsidRPr="006B62C0">
              <w:t>, cu atribuții în coordonarea la nivel național a pro</w:t>
            </w:r>
            <w:r w:rsidR="00833A62">
              <w:t>gramelor operaționale regionale, în scopul asigurării bunei funcționari și implementării acestora.</w:t>
            </w:r>
          </w:p>
          <w:p w14:paraId="620D7D59" w14:textId="36463CF8" w:rsidR="00E22ED2" w:rsidRDefault="00833A62" w:rsidP="006C28DB">
            <w:pPr>
              <w:spacing w:line="360" w:lineRule="auto"/>
              <w:jc w:val="both"/>
            </w:pPr>
            <w:r>
              <w:t>Atribuțiile noilor structuri organizatorice vor fi detaliate în Regulamentul de organizare și funcționare al Ministerului Investițiilor și Proiectelor Europene.</w:t>
            </w:r>
          </w:p>
          <w:p w14:paraId="79900DB9" w14:textId="03079846" w:rsidR="00A60646" w:rsidRPr="0083262C" w:rsidRDefault="00B87D12" w:rsidP="006C28DB">
            <w:pPr>
              <w:spacing w:line="360" w:lineRule="auto"/>
              <w:jc w:val="both"/>
            </w:pPr>
            <w:r>
              <w:t>Prin urmare, pentru operaționalizarea unei capacități administrative complexe</w:t>
            </w:r>
            <w:r w:rsidR="0083262C">
              <w:t xml:space="preserve">, precum și pentru </w:t>
            </w:r>
            <w:r w:rsidR="00A60646">
              <w:rPr>
                <w:color w:val="000000" w:themeColor="text1"/>
              </w:rPr>
              <w:t xml:space="preserve">atingerea obiectivelor </w:t>
            </w:r>
            <w:r w:rsidR="00721F71">
              <w:rPr>
                <w:color w:val="000000" w:themeColor="text1"/>
              </w:rPr>
              <w:t>ș</w:t>
            </w:r>
            <w:r w:rsidR="00A60646">
              <w:rPr>
                <w:color w:val="000000" w:themeColor="text1"/>
              </w:rPr>
              <w:t>i duce</w:t>
            </w:r>
            <w:r w:rsidR="00A60646" w:rsidRPr="009107E6">
              <w:rPr>
                <w:color w:val="000000" w:themeColor="text1"/>
              </w:rPr>
              <w:t>rii la îndeplinire a tuturor atribuțiilor stabilite/previzionate</w:t>
            </w:r>
            <w:r w:rsidR="00A60646">
              <w:rPr>
                <w:color w:val="000000" w:themeColor="text1"/>
              </w:rPr>
              <w:t xml:space="preserve"> </w:t>
            </w:r>
            <w:r w:rsidR="0025201B">
              <w:rPr>
                <w:color w:val="000000" w:themeColor="text1"/>
              </w:rPr>
              <w:t xml:space="preserve">este nevoie de </w:t>
            </w:r>
            <w:r w:rsidR="0025201B" w:rsidRPr="00B470A0">
              <w:t>personal în conformitate cu pregătirea profesională core</w:t>
            </w:r>
            <w:r w:rsidR="0025201B" w:rsidRPr="009107E6">
              <w:rPr>
                <w:color w:val="000000" w:themeColor="text1"/>
              </w:rPr>
              <w:t>spunzătoare desfă</w:t>
            </w:r>
            <w:r w:rsidR="00721F71">
              <w:rPr>
                <w:color w:val="000000" w:themeColor="text1"/>
              </w:rPr>
              <w:t>ș</w:t>
            </w:r>
            <w:r w:rsidR="0025201B" w:rsidRPr="009107E6">
              <w:rPr>
                <w:color w:val="000000" w:themeColor="text1"/>
              </w:rPr>
              <w:t>urării activită</w:t>
            </w:r>
            <w:r w:rsidR="00721F71">
              <w:rPr>
                <w:color w:val="000000" w:themeColor="text1"/>
              </w:rPr>
              <w:t>ț</w:t>
            </w:r>
            <w:r w:rsidR="0025201B" w:rsidRPr="009107E6">
              <w:rPr>
                <w:color w:val="000000" w:themeColor="text1"/>
              </w:rPr>
              <w:t>ilor</w:t>
            </w:r>
            <w:r w:rsidR="0025201B">
              <w:rPr>
                <w:color w:val="000000" w:themeColor="text1"/>
              </w:rPr>
              <w:t xml:space="preserve"> </w:t>
            </w:r>
            <w:r w:rsidR="00A60646" w:rsidRPr="009107E6">
              <w:rPr>
                <w:color w:val="000000" w:themeColor="text1"/>
              </w:rPr>
              <w:t xml:space="preserve">. </w:t>
            </w:r>
          </w:p>
          <w:p w14:paraId="1FCD3EF5" w14:textId="47A28130" w:rsidR="00A6698E" w:rsidRPr="00812587" w:rsidRDefault="005916EA" w:rsidP="006C28DB">
            <w:pPr>
              <w:spacing w:line="360" w:lineRule="auto"/>
              <w:jc w:val="both"/>
              <w:rPr>
                <w:color w:val="000000" w:themeColor="text1"/>
              </w:rPr>
            </w:pPr>
            <w:r w:rsidRPr="009107E6">
              <w:rPr>
                <w:color w:val="000000" w:themeColor="text1"/>
              </w:rPr>
              <w:t>Stabilirea necesarului de posturi pe fiecare activitate ajută la definirea numărului estimat de resurse umane de c</w:t>
            </w:r>
            <w:r w:rsidR="00D444B5">
              <w:rPr>
                <w:color w:val="000000" w:themeColor="text1"/>
              </w:rPr>
              <w:t>are are nevoie fiecare structură</w:t>
            </w:r>
            <w:r w:rsidRPr="009107E6">
              <w:rPr>
                <w:color w:val="000000" w:themeColor="text1"/>
              </w:rPr>
              <w:t xml:space="preserve"> din cadrul institu</w:t>
            </w:r>
            <w:r w:rsidR="00721F71">
              <w:rPr>
                <w:color w:val="000000" w:themeColor="text1"/>
              </w:rPr>
              <w:t>ț</w:t>
            </w:r>
            <w:r w:rsidRPr="009107E6">
              <w:rPr>
                <w:color w:val="000000" w:themeColor="text1"/>
              </w:rPr>
              <w:t xml:space="preserve">iei. </w:t>
            </w:r>
          </w:p>
          <w:p w14:paraId="7DC485EA" w14:textId="3E391354" w:rsidR="009F7C7C" w:rsidRPr="009107E6" w:rsidRDefault="002A79BF" w:rsidP="006C28DB">
            <w:pPr>
              <w:spacing w:line="360" w:lineRule="auto"/>
              <w:jc w:val="both"/>
              <w:rPr>
                <w:color w:val="000000" w:themeColor="text1"/>
              </w:rPr>
            </w:pPr>
            <w:r w:rsidRPr="009107E6">
              <w:rPr>
                <w:color w:val="000000" w:themeColor="text1"/>
              </w:rPr>
              <w:t>Posturile trebuie prevăzute în func</w:t>
            </w:r>
            <w:r w:rsidR="00721F71">
              <w:rPr>
                <w:color w:val="000000" w:themeColor="text1"/>
              </w:rPr>
              <w:t>ț</w:t>
            </w:r>
            <w:r w:rsidRPr="009107E6">
              <w:rPr>
                <w:color w:val="000000" w:themeColor="text1"/>
              </w:rPr>
              <w:t xml:space="preserve">ie de încărcarea </w:t>
            </w:r>
            <w:r w:rsidR="00721F71">
              <w:rPr>
                <w:color w:val="000000" w:themeColor="text1"/>
              </w:rPr>
              <w:t>ș</w:t>
            </w:r>
            <w:r w:rsidRPr="009107E6">
              <w:rPr>
                <w:color w:val="000000" w:themeColor="text1"/>
              </w:rPr>
              <w:t>i complexitatea muncii fiec</w:t>
            </w:r>
            <w:r w:rsidR="00721F71">
              <w:rPr>
                <w:color w:val="000000" w:themeColor="text1"/>
              </w:rPr>
              <w:t>ă</w:t>
            </w:r>
            <w:r w:rsidRPr="009107E6">
              <w:rPr>
                <w:color w:val="000000" w:themeColor="text1"/>
              </w:rPr>
              <w:t xml:space="preserve">rei structuri în vederea dezvoltării </w:t>
            </w:r>
            <w:r w:rsidR="00721F71">
              <w:rPr>
                <w:color w:val="000000" w:themeColor="text1"/>
              </w:rPr>
              <w:t>ș</w:t>
            </w:r>
            <w:r w:rsidRPr="009107E6">
              <w:rPr>
                <w:color w:val="000000" w:themeColor="text1"/>
              </w:rPr>
              <w:t>i păstrării unei for</w:t>
            </w:r>
            <w:r w:rsidR="00721F71">
              <w:rPr>
                <w:color w:val="000000" w:themeColor="text1"/>
              </w:rPr>
              <w:t>ț</w:t>
            </w:r>
            <w:r w:rsidRPr="009107E6">
              <w:rPr>
                <w:color w:val="000000" w:themeColor="text1"/>
              </w:rPr>
              <w:t xml:space="preserve">e de muncă eficace </w:t>
            </w:r>
            <w:r w:rsidR="00721F71">
              <w:rPr>
                <w:color w:val="000000" w:themeColor="text1"/>
              </w:rPr>
              <w:t>ș</w:t>
            </w:r>
            <w:r w:rsidRPr="009107E6">
              <w:rPr>
                <w:color w:val="000000" w:themeColor="text1"/>
              </w:rPr>
              <w:t>i echilibrate, promovării unui mediu de lucru orientat spre rezultate și ob</w:t>
            </w:r>
            <w:r w:rsidR="00721F71">
              <w:rPr>
                <w:color w:val="000000" w:themeColor="text1"/>
              </w:rPr>
              <w:t>ț</w:t>
            </w:r>
            <w:r w:rsidRPr="009107E6">
              <w:rPr>
                <w:color w:val="000000" w:themeColor="text1"/>
              </w:rPr>
              <w:t>inerii unui grad de absorb</w:t>
            </w:r>
            <w:r w:rsidR="00721F71">
              <w:rPr>
                <w:color w:val="000000" w:themeColor="text1"/>
              </w:rPr>
              <w:t>ț</w:t>
            </w:r>
            <w:r w:rsidRPr="009107E6">
              <w:rPr>
                <w:color w:val="000000" w:themeColor="text1"/>
              </w:rPr>
              <w:t>ie a fondurilor europene cât mai ridicat.</w:t>
            </w:r>
          </w:p>
          <w:p w14:paraId="4FFFC1B0" w14:textId="78AB9538" w:rsidR="002A79BF" w:rsidRPr="009051BB" w:rsidRDefault="002A79BF" w:rsidP="006C28DB">
            <w:pPr>
              <w:spacing w:line="360" w:lineRule="auto"/>
              <w:jc w:val="both"/>
              <w:rPr>
                <w:color w:val="000000" w:themeColor="text1"/>
              </w:rPr>
            </w:pPr>
            <w:r w:rsidRPr="009051BB">
              <w:rPr>
                <w:color w:val="000000" w:themeColor="text1"/>
              </w:rPr>
              <w:t>Astfel, la nivelul Ministerului Investi</w:t>
            </w:r>
            <w:r w:rsidR="00721F71">
              <w:rPr>
                <w:color w:val="000000" w:themeColor="text1"/>
              </w:rPr>
              <w:t>ț</w:t>
            </w:r>
            <w:r w:rsidRPr="009051BB">
              <w:rPr>
                <w:color w:val="000000" w:themeColor="text1"/>
              </w:rPr>
              <w:t xml:space="preserve">iilor și Proiectelor Europene necesitatea de suplimentare </w:t>
            </w:r>
            <w:r w:rsidR="00471289" w:rsidRPr="009051BB">
              <w:rPr>
                <w:color w:val="000000" w:themeColor="text1"/>
              </w:rPr>
              <w:t>cu personal</w:t>
            </w:r>
            <w:r w:rsidR="00187B39" w:rsidRPr="009051BB">
              <w:rPr>
                <w:color w:val="000000" w:themeColor="text1"/>
              </w:rPr>
              <w:t xml:space="preserve"> </w:t>
            </w:r>
            <w:r w:rsidR="00187B39" w:rsidRPr="00187B39">
              <w:rPr>
                <w:color w:val="000000" w:themeColor="text1"/>
              </w:rPr>
              <w:t>de specialitate, cunoscător al regulamentelor europene/legislației naționale aferente care asigură cadrul legal și procedural de utilizare al fondurilor europene, al procedurilor de lucru în toate etapele de gestiune a fondurilor pentru securizarea implementării programelor operaționale din noua perioadă de programare</w:t>
            </w:r>
            <w:r w:rsidR="00471289" w:rsidRPr="009051BB">
              <w:rPr>
                <w:color w:val="000000" w:themeColor="text1"/>
              </w:rPr>
              <w:t xml:space="preserve"> </w:t>
            </w:r>
            <w:r w:rsidRPr="009051BB">
              <w:rPr>
                <w:color w:val="000000" w:themeColor="text1"/>
              </w:rPr>
              <w:t>este evidentă în vederea asigur</w:t>
            </w:r>
            <w:r w:rsidR="00721F71">
              <w:rPr>
                <w:color w:val="000000" w:themeColor="text1"/>
              </w:rPr>
              <w:t>ă</w:t>
            </w:r>
            <w:r w:rsidRPr="009051BB">
              <w:rPr>
                <w:color w:val="000000" w:themeColor="text1"/>
              </w:rPr>
              <w:t xml:space="preserve">rii unui management financiar eficient </w:t>
            </w:r>
            <w:r w:rsidR="00721F71">
              <w:rPr>
                <w:color w:val="000000" w:themeColor="text1"/>
              </w:rPr>
              <w:t>ș</w:t>
            </w:r>
            <w:r w:rsidRPr="009051BB">
              <w:rPr>
                <w:color w:val="000000" w:themeColor="text1"/>
              </w:rPr>
              <w:t xml:space="preserve">i eficace al fondurilor </w:t>
            </w:r>
            <w:r w:rsidR="00721F71">
              <w:rPr>
                <w:color w:val="000000" w:themeColor="text1"/>
              </w:rPr>
              <w:t>ș</w:t>
            </w:r>
            <w:r w:rsidRPr="009051BB">
              <w:rPr>
                <w:color w:val="000000" w:themeColor="text1"/>
              </w:rPr>
              <w:t>i al capacită</w:t>
            </w:r>
            <w:r w:rsidR="00721F71">
              <w:rPr>
                <w:color w:val="000000" w:themeColor="text1"/>
              </w:rPr>
              <w:t>ț</w:t>
            </w:r>
            <w:r w:rsidRPr="009051BB">
              <w:rPr>
                <w:color w:val="000000" w:themeColor="text1"/>
              </w:rPr>
              <w:t>ii de absorb</w:t>
            </w:r>
            <w:r w:rsidR="00721F71">
              <w:rPr>
                <w:color w:val="000000" w:themeColor="text1"/>
              </w:rPr>
              <w:t>ț</w:t>
            </w:r>
            <w:r w:rsidRPr="009051BB">
              <w:rPr>
                <w:color w:val="000000" w:themeColor="text1"/>
              </w:rPr>
              <w:t>ie.</w:t>
            </w:r>
          </w:p>
          <w:p w14:paraId="3A73558D" w14:textId="786C78E6" w:rsidR="002A79BF" w:rsidRPr="00B701BE" w:rsidRDefault="002A79BF" w:rsidP="006C28DB">
            <w:pPr>
              <w:spacing w:line="360" w:lineRule="auto"/>
              <w:jc w:val="both"/>
              <w:rPr>
                <w:color w:val="000000" w:themeColor="text1"/>
              </w:rPr>
            </w:pPr>
          </w:p>
          <w:p w14:paraId="264E1F12" w14:textId="30504632" w:rsidR="00B74743" w:rsidRPr="009107E6" w:rsidRDefault="00B660BD" w:rsidP="006C28DB">
            <w:pPr>
              <w:spacing w:line="360" w:lineRule="auto"/>
              <w:jc w:val="both"/>
              <w:rPr>
                <w:color w:val="000000" w:themeColor="text1"/>
              </w:rPr>
            </w:pPr>
            <w:r w:rsidRPr="00B660BD">
              <w:rPr>
                <w:color w:val="000000" w:themeColor="text1"/>
              </w:rPr>
              <w:t xml:space="preserve">Față de elementele </w:t>
            </w:r>
            <w:r>
              <w:rPr>
                <w:color w:val="000000" w:themeColor="text1"/>
              </w:rPr>
              <w:t>sus-menționate</w:t>
            </w:r>
            <w:r w:rsidR="006B62C0">
              <w:rPr>
                <w:color w:val="000000" w:themeColor="text1"/>
              </w:rPr>
              <w:t xml:space="preserve"> </w:t>
            </w:r>
            <w:r w:rsidR="00B74743" w:rsidRPr="009107E6">
              <w:rPr>
                <w:color w:val="000000" w:themeColor="text1"/>
              </w:rPr>
              <w:t>considerăm imperios</w:t>
            </w:r>
            <w:r w:rsidR="00B74743">
              <w:rPr>
                <w:color w:val="000000" w:themeColor="text1"/>
              </w:rPr>
              <w:t xml:space="preserve"> necesara reorganizarea instituțională</w:t>
            </w:r>
            <w:r w:rsidR="00B74743" w:rsidRPr="009107E6">
              <w:rPr>
                <w:color w:val="000000" w:themeColor="text1"/>
              </w:rPr>
              <w:t xml:space="preserve">, </w:t>
            </w:r>
            <w:r w:rsidR="00B74743" w:rsidRPr="00430AFD">
              <w:rPr>
                <w:color w:val="000000" w:themeColor="text1"/>
              </w:rPr>
              <w:t xml:space="preserve">astfel încât să fie asigurate premisele unei utilizări eficiente </w:t>
            </w:r>
            <w:r w:rsidR="00721F71">
              <w:rPr>
                <w:color w:val="000000" w:themeColor="text1"/>
              </w:rPr>
              <w:t>ș</w:t>
            </w:r>
            <w:r w:rsidR="00B74743" w:rsidRPr="00430AFD">
              <w:rPr>
                <w:color w:val="000000" w:themeColor="text1"/>
              </w:rPr>
              <w:t xml:space="preserve">i eficace a fondurilor europene precum și pentru simplificarea anumitor aspecte pentru a veni în sprijinul beneficiarilor acestei politici, prin </w:t>
            </w:r>
            <w:r w:rsidR="00B74743" w:rsidRPr="000C28A0">
              <w:rPr>
                <w:color w:val="000000" w:themeColor="text1"/>
              </w:rPr>
              <w:t>înființarea/comasarea/desființarea unor</w:t>
            </w:r>
            <w:r w:rsidR="00B74743" w:rsidRPr="0014186B">
              <w:rPr>
                <w:color w:val="C00000"/>
              </w:rPr>
              <w:t xml:space="preserve"> </w:t>
            </w:r>
            <w:r w:rsidR="00B74743" w:rsidRPr="000C28A0">
              <w:rPr>
                <w:color w:val="000000" w:themeColor="text1"/>
              </w:rPr>
              <w:t>structuri</w:t>
            </w:r>
            <w:r w:rsidR="00B74743" w:rsidRPr="009107E6">
              <w:rPr>
                <w:color w:val="000000" w:themeColor="text1"/>
              </w:rPr>
              <w:t xml:space="preserve">, </w:t>
            </w:r>
            <w:r w:rsidR="00B74743" w:rsidRPr="000C28A0">
              <w:rPr>
                <w:color w:val="000000" w:themeColor="text1"/>
              </w:rPr>
              <w:t>preluarea de atribuții de la alte structuri</w:t>
            </w:r>
            <w:r w:rsidR="00B74743" w:rsidRPr="009107E6">
              <w:rPr>
                <w:color w:val="000000" w:themeColor="text1"/>
              </w:rPr>
              <w:t>, toate în vederea eficientizării activității Ministerului Investițiilor și Proiectelor Europene.</w:t>
            </w:r>
          </w:p>
          <w:p w14:paraId="67DB4E2B" w14:textId="4D821329" w:rsidR="003702D9" w:rsidRPr="00430AFD" w:rsidRDefault="00B74743" w:rsidP="006C28DB">
            <w:pPr>
              <w:spacing w:line="360" w:lineRule="auto"/>
              <w:ind w:right="30"/>
              <w:jc w:val="both"/>
              <w:rPr>
                <w:color w:val="000000" w:themeColor="text1"/>
              </w:rPr>
            </w:pPr>
            <w:r w:rsidRPr="00430AFD">
              <w:rPr>
                <w:color w:val="000000" w:themeColor="text1"/>
              </w:rPr>
              <w:t>Pentru ca această performanță să fie posibilă, este necesară continuarea procesului de întărire a capacității de administrare a fondurilor europene prin reorganizarea instituțională, după cum urmează:</w:t>
            </w:r>
          </w:p>
          <w:p w14:paraId="6352B35E" w14:textId="3954B958" w:rsidR="003702D9" w:rsidRDefault="00B74743" w:rsidP="006C28DB">
            <w:pPr>
              <w:spacing w:line="360" w:lineRule="auto"/>
              <w:jc w:val="both"/>
              <w:rPr>
                <w:color w:val="000000" w:themeColor="text1"/>
              </w:rPr>
            </w:pPr>
            <w:r w:rsidRPr="009107E6">
              <w:rPr>
                <w:color w:val="000000" w:themeColor="text1"/>
              </w:rPr>
              <w:t xml:space="preserve">- </w:t>
            </w:r>
            <w:r w:rsidRPr="00B701BE">
              <w:rPr>
                <w:b/>
                <w:color w:val="000000" w:themeColor="text1"/>
              </w:rPr>
              <w:t xml:space="preserve">majorarea numărului de posturi aferente Ministerului Investițiilor și Proiectelor Europene, </w:t>
            </w:r>
            <w:r w:rsidR="00E51BFE" w:rsidRPr="001F44D1">
              <w:rPr>
                <w:color w:val="000000" w:themeColor="text1"/>
              </w:rPr>
              <w:t>respectiv de la 1943 la</w:t>
            </w:r>
            <w:r w:rsidR="006E2424" w:rsidRPr="001F44D1">
              <w:rPr>
                <w:color w:val="000000" w:themeColor="text1"/>
              </w:rPr>
              <w:t xml:space="preserve"> 2343</w:t>
            </w:r>
            <w:r w:rsidRPr="001F44D1">
              <w:rPr>
                <w:color w:val="000000" w:themeColor="text1"/>
              </w:rPr>
              <w:t xml:space="preserve"> </w:t>
            </w:r>
            <w:r w:rsidRPr="007137B0">
              <w:rPr>
                <w:color w:val="000000" w:themeColor="text1"/>
              </w:rPr>
              <w:t xml:space="preserve">(exclusiv demnitarii </w:t>
            </w:r>
            <w:r w:rsidRPr="00430AFD">
              <w:rPr>
                <w:color w:val="000000" w:themeColor="text1"/>
              </w:rPr>
              <w:t>și cabinetele aferente demnitarilor)</w:t>
            </w:r>
          </w:p>
          <w:p w14:paraId="1430B959" w14:textId="1DB4E18A" w:rsidR="003702D9" w:rsidRDefault="0059238F" w:rsidP="006C28DB">
            <w:pPr>
              <w:spacing w:before="120" w:after="120" w:line="360" w:lineRule="auto"/>
              <w:jc w:val="both"/>
              <w:rPr>
                <w:color w:val="000000" w:themeColor="text1"/>
              </w:rPr>
            </w:pPr>
            <w:r w:rsidRPr="000747A9">
              <w:rPr>
                <w:b/>
                <w:color w:val="000000" w:themeColor="text1"/>
              </w:rPr>
              <w:t xml:space="preserve">-   </w:t>
            </w:r>
            <w:r w:rsidR="00E455C7" w:rsidRPr="000747A9">
              <w:rPr>
                <w:b/>
                <w:color w:val="000000" w:themeColor="text1"/>
              </w:rPr>
              <w:t>reorganizarea prin preluare</w:t>
            </w:r>
            <w:r w:rsidR="00E80E60" w:rsidRPr="000747A9">
              <w:rPr>
                <w:b/>
                <w:color w:val="000000" w:themeColor="text1"/>
              </w:rPr>
              <w:t>a Direcției generale programe europene capacitate</w:t>
            </w:r>
            <w:r w:rsidR="001B349E" w:rsidRPr="000747A9">
              <w:rPr>
                <w:b/>
                <w:color w:val="000000" w:themeColor="text1"/>
              </w:rPr>
              <w:t>a</w:t>
            </w:r>
            <w:r w:rsidR="00E80E60" w:rsidRPr="000747A9">
              <w:rPr>
                <w:b/>
                <w:color w:val="000000" w:themeColor="text1"/>
              </w:rPr>
              <w:t xml:space="preserve"> a</w:t>
            </w:r>
            <w:r w:rsidRPr="000747A9">
              <w:rPr>
                <w:b/>
                <w:color w:val="000000" w:themeColor="text1"/>
              </w:rPr>
              <w:t>dministrativă</w:t>
            </w:r>
            <w:r w:rsidRPr="009F6D4F">
              <w:rPr>
                <w:color w:val="000000" w:themeColor="text1"/>
              </w:rPr>
              <w:t xml:space="preserve"> în cadrul Ministerului Investițiilor și Proiectelor Europene, </w:t>
            </w:r>
            <w:r w:rsidR="00E80E60" w:rsidRPr="009F6D4F">
              <w:rPr>
                <w:color w:val="000000" w:themeColor="text1"/>
              </w:rPr>
              <w:t>precum și a activității</w:t>
            </w:r>
            <w:r w:rsidR="00801F63" w:rsidRPr="009F6D4F">
              <w:rPr>
                <w:color w:val="000000" w:themeColor="text1"/>
              </w:rPr>
              <w:t xml:space="preserve">, structurii și personalului acesteia </w:t>
            </w:r>
            <w:r w:rsidR="00596CE8">
              <w:rPr>
                <w:color w:val="000000" w:themeColor="text1"/>
              </w:rPr>
              <w:t>de la Ministerul</w:t>
            </w:r>
            <w:r w:rsidRPr="009F6D4F">
              <w:rPr>
                <w:color w:val="000000" w:themeColor="text1"/>
              </w:rPr>
              <w:t xml:space="preserve"> Dezvoltării, Lucrărilor Publice și Administrației</w:t>
            </w:r>
            <w:r w:rsidR="003702D9" w:rsidRPr="001175FA">
              <w:rPr>
                <w:color w:val="000000" w:themeColor="text1"/>
              </w:rPr>
              <w:t>, cu u</w:t>
            </w:r>
            <w:r w:rsidR="001B349E" w:rsidRPr="001175FA">
              <w:rPr>
                <w:color w:val="000000" w:themeColor="text1"/>
              </w:rPr>
              <w:t xml:space="preserve">n număr alocat de </w:t>
            </w:r>
            <w:r w:rsidR="00D6634F" w:rsidRPr="001175FA">
              <w:rPr>
                <w:color w:val="000000" w:themeColor="text1"/>
              </w:rPr>
              <w:t>78</w:t>
            </w:r>
            <w:r w:rsidR="001B349E" w:rsidRPr="001175FA">
              <w:rPr>
                <w:color w:val="000000" w:themeColor="text1"/>
              </w:rPr>
              <w:t xml:space="preserve"> </w:t>
            </w:r>
            <w:r w:rsidR="00E455C7" w:rsidRPr="001175FA">
              <w:rPr>
                <w:color w:val="000000" w:themeColor="text1"/>
              </w:rPr>
              <w:t>posturi</w:t>
            </w:r>
            <w:r w:rsidR="001B349E" w:rsidRPr="001175FA">
              <w:rPr>
                <w:color w:val="000000" w:themeColor="text1"/>
              </w:rPr>
              <w:t>, cu următoarea structură organizatorică:</w:t>
            </w:r>
          </w:p>
          <w:p w14:paraId="3F3D26C7" w14:textId="29776A22" w:rsidR="001175FA" w:rsidRPr="001E7E31" w:rsidRDefault="00246E85" w:rsidP="00B956B6">
            <w:pPr>
              <w:pStyle w:val="ListParagraph"/>
              <w:numPr>
                <w:ilvl w:val="0"/>
                <w:numId w:val="38"/>
              </w:numPr>
              <w:spacing w:before="120" w:after="120" w:line="360" w:lineRule="auto"/>
              <w:jc w:val="both"/>
              <w:rPr>
                <w:color w:val="000000" w:themeColor="text1"/>
              </w:rPr>
            </w:pPr>
            <w:r>
              <w:rPr>
                <w:color w:val="000000" w:themeColor="text1"/>
              </w:rPr>
              <w:t>Compartimentul monitorizare și analiză</w:t>
            </w:r>
            <w:r w:rsidR="00B956B6" w:rsidRPr="001E7E31">
              <w:rPr>
                <w:color w:val="000000" w:themeColor="text1"/>
              </w:rPr>
              <w:t xml:space="preserve"> program</w:t>
            </w:r>
          </w:p>
          <w:p w14:paraId="4AA4B209" w14:textId="7AE520F4" w:rsidR="00B956B6" w:rsidRPr="001E7E31" w:rsidRDefault="00B956B6" w:rsidP="00B956B6">
            <w:pPr>
              <w:pStyle w:val="ListParagraph"/>
              <w:numPr>
                <w:ilvl w:val="0"/>
                <w:numId w:val="38"/>
              </w:numPr>
              <w:spacing w:before="120" w:after="120" w:line="360" w:lineRule="auto"/>
              <w:jc w:val="both"/>
              <w:rPr>
                <w:color w:val="000000" w:themeColor="text1"/>
              </w:rPr>
            </w:pPr>
            <w:r w:rsidRPr="001E7E31">
              <w:rPr>
                <w:color w:val="000000" w:themeColor="text1"/>
              </w:rPr>
              <w:t>Compartimentul evaluare program</w:t>
            </w:r>
          </w:p>
          <w:p w14:paraId="5BFDF845" w14:textId="77777777" w:rsidR="00B956B6" w:rsidRPr="00B956B6" w:rsidRDefault="00B956B6" w:rsidP="00B956B6">
            <w:pPr>
              <w:pStyle w:val="ListParagraph"/>
              <w:numPr>
                <w:ilvl w:val="0"/>
                <w:numId w:val="38"/>
              </w:numPr>
              <w:spacing w:before="120" w:after="120" w:line="360" w:lineRule="auto"/>
              <w:jc w:val="both"/>
              <w:rPr>
                <w:color w:val="000000" w:themeColor="text1"/>
              </w:rPr>
            </w:pPr>
            <w:r w:rsidRPr="00B956B6">
              <w:rPr>
                <w:color w:val="000000" w:themeColor="text1"/>
              </w:rPr>
              <w:t>Serviciul evaluare și contractare proiecte</w:t>
            </w:r>
          </w:p>
          <w:p w14:paraId="1186B197" w14:textId="5A6E1E02" w:rsidR="001B349E" w:rsidRPr="001E7E31" w:rsidRDefault="00C263C7" w:rsidP="00B956B6">
            <w:pPr>
              <w:pStyle w:val="ListParagraph"/>
              <w:numPr>
                <w:ilvl w:val="0"/>
                <w:numId w:val="38"/>
              </w:numPr>
              <w:spacing w:before="120" w:after="120" w:line="360" w:lineRule="auto"/>
              <w:jc w:val="both"/>
              <w:rPr>
                <w:color w:val="000000" w:themeColor="text1"/>
              </w:rPr>
            </w:pPr>
            <w:r>
              <w:rPr>
                <w:color w:val="000000" w:themeColor="text1"/>
              </w:rPr>
              <w:t>Serv</w:t>
            </w:r>
            <w:r w:rsidR="00C87F55">
              <w:rPr>
                <w:color w:val="000000" w:themeColor="text1"/>
              </w:rPr>
              <w:t>i</w:t>
            </w:r>
            <w:r>
              <w:rPr>
                <w:color w:val="000000" w:themeColor="text1"/>
              </w:rPr>
              <w:t>ciul</w:t>
            </w:r>
            <w:r w:rsidR="00827D34" w:rsidRPr="001E7E31">
              <w:rPr>
                <w:color w:val="000000" w:themeColor="text1"/>
              </w:rPr>
              <w:t xml:space="preserve"> autorizare proiecte, plăți și contabilitate cu: Compartimentul verificare achiziții publice, Compartimentul autorizare proiecte, </w:t>
            </w:r>
            <w:r w:rsidR="00C87F55">
              <w:rPr>
                <w:color w:val="000000" w:themeColor="text1"/>
              </w:rPr>
              <w:t>Compartimentul</w:t>
            </w:r>
            <w:r w:rsidR="00827D34" w:rsidRPr="001E7E31">
              <w:rPr>
                <w:color w:val="000000" w:themeColor="text1"/>
              </w:rPr>
              <w:t xml:space="preserve"> plăți, declarații de cheltuieli, contabilitate și CFPP</w:t>
            </w:r>
          </w:p>
          <w:p w14:paraId="53BDB708" w14:textId="77777777" w:rsidR="00B956B6" w:rsidRPr="001E7E31" w:rsidRDefault="00B956B6" w:rsidP="00B956B6">
            <w:pPr>
              <w:pStyle w:val="ListParagraph"/>
              <w:numPr>
                <w:ilvl w:val="0"/>
                <w:numId w:val="38"/>
              </w:numPr>
              <w:spacing w:before="120" w:after="120" w:line="360" w:lineRule="auto"/>
              <w:jc w:val="both"/>
              <w:rPr>
                <w:color w:val="000000" w:themeColor="text1"/>
              </w:rPr>
            </w:pPr>
            <w:r w:rsidRPr="001E7E31">
              <w:rPr>
                <w:color w:val="000000" w:themeColor="text1"/>
              </w:rPr>
              <w:t>Biroul monitorizare proiecte</w:t>
            </w:r>
          </w:p>
          <w:p w14:paraId="54F408DF" w14:textId="47D3D979" w:rsidR="00B956B6" w:rsidRPr="001E7E31" w:rsidRDefault="00B956B6" w:rsidP="00B956B6">
            <w:pPr>
              <w:pStyle w:val="ListParagraph"/>
              <w:numPr>
                <w:ilvl w:val="0"/>
                <w:numId w:val="38"/>
              </w:numPr>
              <w:spacing w:before="120" w:after="120" w:line="360" w:lineRule="auto"/>
              <w:jc w:val="both"/>
              <w:rPr>
                <w:color w:val="000000" w:themeColor="text1"/>
              </w:rPr>
            </w:pPr>
            <w:r w:rsidRPr="001E7E31">
              <w:rPr>
                <w:color w:val="000000" w:themeColor="text1"/>
              </w:rPr>
              <w:t>Serviciul nereguli și monitorizare audit cu: Compartimentul nereguli și monitorizare audit si Compartimentul recuperare crean</w:t>
            </w:r>
            <w:r w:rsidR="00721F71" w:rsidRPr="001E7E31">
              <w:rPr>
                <w:color w:val="000000" w:themeColor="text1"/>
              </w:rPr>
              <w:t>ț</w:t>
            </w:r>
            <w:r w:rsidRPr="001E7E31">
              <w:rPr>
                <w:color w:val="000000" w:themeColor="text1"/>
              </w:rPr>
              <w:t>e</w:t>
            </w:r>
          </w:p>
          <w:p w14:paraId="48B0742E" w14:textId="7F60E1C4" w:rsidR="00B956B6" w:rsidRPr="001E7E31" w:rsidRDefault="00B956B6" w:rsidP="00B956B6">
            <w:pPr>
              <w:pStyle w:val="ListParagraph"/>
              <w:numPr>
                <w:ilvl w:val="0"/>
                <w:numId w:val="38"/>
              </w:numPr>
              <w:spacing w:before="120" w:after="120" w:line="360" w:lineRule="auto"/>
              <w:jc w:val="both"/>
              <w:rPr>
                <w:color w:val="000000" w:themeColor="text1"/>
              </w:rPr>
            </w:pPr>
            <w:r w:rsidRPr="001E7E31">
              <w:rPr>
                <w:color w:val="000000" w:themeColor="text1"/>
              </w:rPr>
              <w:t>Serviciul constatare nereguli și antifraudă</w:t>
            </w:r>
          </w:p>
          <w:p w14:paraId="2D49C233" w14:textId="77777777" w:rsidR="00B956B6" w:rsidRPr="00B956B6" w:rsidRDefault="00B956B6" w:rsidP="00B956B6">
            <w:pPr>
              <w:pStyle w:val="ListParagraph"/>
              <w:numPr>
                <w:ilvl w:val="0"/>
                <w:numId w:val="38"/>
              </w:numPr>
              <w:spacing w:before="120" w:after="120" w:line="360" w:lineRule="auto"/>
              <w:jc w:val="both"/>
              <w:rPr>
                <w:color w:val="000000" w:themeColor="text1"/>
              </w:rPr>
            </w:pPr>
            <w:r w:rsidRPr="00B956B6">
              <w:rPr>
                <w:color w:val="000000" w:themeColor="text1"/>
              </w:rPr>
              <w:t>Biroul asistență tehnică</w:t>
            </w:r>
          </w:p>
          <w:p w14:paraId="5A3238E6" w14:textId="68AFFBB6" w:rsidR="00B956B6" w:rsidRPr="00B956B6" w:rsidRDefault="00B956B6" w:rsidP="00B956B6">
            <w:pPr>
              <w:pStyle w:val="ListParagraph"/>
              <w:numPr>
                <w:ilvl w:val="0"/>
                <w:numId w:val="38"/>
              </w:numPr>
              <w:spacing w:before="120" w:after="120" w:line="360" w:lineRule="auto"/>
              <w:jc w:val="both"/>
              <w:rPr>
                <w:color w:val="000000" w:themeColor="text1"/>
              </w:rPr>
            </w:pPr>
            <w:r>
              <w:rPr>
                <w:color w:val="000000" w:themeColor="text1"/>
              </w:rPr>
              <w:t>Compartimentul solu</w:t>
            </w:r>
            <w:r w:rsidR="00721F71">
              <w:rPr>
                <w:color w:val="000000" w:themeColor="text1"/>
              </w:rPr>
              <w:t>ț</w:t>
            </w:r>
            <w:r>
              <w:rPr>
                <w:color w:val="000000" w:themeColor="text1"/>
              </w:rPr>
              <w:t>ionare contesta</w:t>
            </w:r>
            <w:r w:rsidR="00721F71">
              <w:rPr>
                <w:color w:val="000000" w:themeColor="text1"/>
              </w:rPr>
              <w:t>ț</w:t>
            </w:r>
            <w:r>
              <w:rPr>
                <w:color w:val="000000" w:themeColor="text1"/>
              </w:rPr>
              <w:t>ii</w:t>
            </w:r>
          </w:p>
          <w:p w14:paraId="74B5493F" w14:textId="04B2A1B0" w:rsidR="001B349E" w:rsidRDefault="00726A7A" w:rsidP="001B349E">
            <w:pPr>
              <w:spacing w:before="120" w:after="120" w:line="360" w:lineRule="auto"/>
              <w:jc w:val="both"/>
              <w:rPr>
                <w:color w:val="000000" w:themeColor="text1"/>
              </w:rPr>
            </w:pPr>
            <w:r>
              <w:rPr>
                <w:color w:val="FF0000"/>
              </w:rPr>
              <w:t xml:space="preserve">- </w:t>
            </w:r>
            <w:r w:rsidR="00E455C7" w:rsidRPr="000747A9">
              <w:rPr>
                <w:b/>
                <w:color w:val="000000" w:themeColor="text1"/>
              </w:rPr>
              <w:t>reorganizarea prin preluare</w:t>
            </w:r>
            <w:r w:rsidR="005E4FE2" w:rsidRPr="000747A9">
              <w:rPr>
                <w:b/>
                <w:color w:val="000000" w:themeColor="text1"/>
              </w:rPr>
              <w:t>a</w:t>
            </w:r>
            <w:r w:rsidRPr="000747A9">
              <w:rPr>
                <w:b/>
                <w:color w:val="000000" w:themeColor="text1"/>
              </w:rPr>
              <w:t xml:space="preserve"> </w:t>
            </w:r>
            <w:r w:rsidR="005E4FE2" w:rsidRPr="000747A9">
              <w:rPr>
                <w:b/>
                <w:color w:val="000000" w:themeColor="text1"/>
              </w:rPr>
              <w:t>Direcției generale program operațional r</w:t>
            </w:r>
            <w:r w:rsidR="00EB128C" w:rsidRPr="000747A9">
              <w:rPr>
                <w:b/>
                <w:color w:val="000000" w:themeColor="text1"/>
              </w:rPr>
              <w:t>egional</w:t>
            </w:r>
            <w:r w:rsidR="00EB128C" w:rsidRPr="009F6D4F">
              <w:rPr>
                <w:color w:val="000000" w:themeColor="text1"/>
              </w:rPr>
              <w:t xml:space="preserve"> în cadrul Ministerului Investițiilor și Proiectelor Europene, </w:t>
            </w:r>
            <w:r w:rsidR="005C055D" w:rsidRPr="009F6D4F">
              <w:rPr>
                <w:color w:val="000000" w:themeColor="text1"/>
              </w:rPr>
              <w:t xml:space="preserve">precum și a activității, structurii și personalului acesteia </w:t>
            </w:r>
            <w:r w:rsidR="00596CE8">
              <w:rPr>
                <w:color w:val="000000" w:themeColor="text1"/>
              </w:rPr>
              <w:t>de la Ministerul</w:t>
            </w:r>
            <w:r w:rsidR="00EB128C" w:rsidRPr="009F6D4F">
              <w:rPr>
                <w:color w:val="000000" w:themeColor="text1"/>
              </w:rPr>
              <w:t xml:space="preserve"> Dezvoltării, Lucrărilor Publice și Administrației</w:t>
            </w:r>
            <w:r w:rsidR="003702D9" w:rsidRPr="009F6D4F">
              <w:rPr>
                <w:color w:val="000000" w:themeColor="text1"/>
              </w:rPr>
              <w:t>,</w:t>
            </w:r>
            <w:r w:rsidR="003702D9">
              <w:rPr>
                <w:color w:val="FF0000"/>
              </w:rPr>
              <w:t xml:space="preserve"> </w:t>
            </w:r>
            <w:r w:rsidR="003702D9" w:rsidRPr="00AF4D41">
              <w:rPr>
                <w:color w:val="000000" w:themeColor="text1"/>
              </w:rPr>
              <w:t>cu un număr alo</w:t>
            </w:r>
            <w:r w:rsidR="001B349E" w:rsidRPr="00AF4D41">
              <w:rPr>
                <w:color w:val="000000" w:themeColor="text1"/>
              </w:rPr>
              <w:t xml:space="preserve">cat de </w:t>
            </w:r>
            <w:r w:rsidR="0049197C" w:rsidRPr="001774C7">
              <w:rPr>
                <w:color w:val="000000" w:themeColor="text1"/>
              </w:rPr>
              <w:t>17</w:t>
            </w:r>
            <w:r w:rsidR="00AF4D41" w:rsidRPr="001774C7">
              <w:rPr>
                <w:color w:val="000000" w:themeColor="text1"/>
              </w:rPr>
              <w:t>9</w:t>
            </w:r>
            <w:r w:rsidR="001B349E" w:rsidRPr="00101926">
              <w:rPr>
                <w:color w:val="000000" w:themeColor="text1"/>
              </w:rPr>
              <w:t xml:space="preserve"> </w:t>
            </w:r>
            <w:r w:rsidR="003702D9" w:rsidRPr="00AF4D41">
              <w:rPr>
                <w:color w:val="000000" w:themeColor="text1"/>
              </w:rPr>
              <w:t>posturi</w:t>
            </w:r>
            <w:r w:rsidR="001B349E" w:rsidRPr="00AF4D41">
              <w:rPr>
                <w:color w:val="000000" w:themeColor="text1"/>
              </w:rPr>
              <w:t>, cu următoarea structură organizatorică:</w:t>
            </w:r>
          </w:p>
          <w:p w14:paraId="5D1A1062" w14:textId="633BEA0D" w:rsidR="00101926" w:rsidRDefault="00101926" w:rsidP="00101926">
            <w:pPr>
              <w:pStyle w:val="ListParagraph"/>
              <w:numPr>
                <w:ilvl w:val="0"/>
                <w:numId w:val="38"/>
              </w:numPr>
              <w:spacing w:before="120" w:after="120" w:line="360" w:lineRule="auto"/>
              <w:jc w:val="both"/>
            </w:pPr>
            <w:r w:rsidRPr="00101926">
              <w:t>Serviciul gestionare program</w:t>
            </w:r>
          </w:p>
          <w:p w14:paraId="0C8EF29C" w14:textId="3F0669DE" w:rsidR="00101926" w:rsidRDefault="00603CE7" w:rsidP="00101926">
            <w:pPr>
              <w:pStyle w:val="ListParagraph"/>
              <w:numPr>
                <w:ilvl w:val="0"/>
                <w:numId w:val="38"/>
              </w:numPr>
              <w:spacing w:before="120" w:after="120" w:line="360" w:lineRule="auto"/>
              <w:jc w:val="both"/>
            </w:pPr>
            <w:r>
              <w:lastRenderedPageBreak/>
              <w:t xml:space="preserve">Biroul </w:t>
            </w:r>
            <w:r w:rsidR="00101926">
              <w:t>evaluare program</w:t>
            </w:r>
          </w:p>
          <w:p w14:paraId="6860AB54" w14:textId="3FEB5D8C" w:rsidR="00101926" w:rsidRDefault="00101926" w:rsidP="00101926">
            <w:pPr>
              <w:pStyle w:val="ListParagraph"/>
              <w:numPr>
                <w:ilvl w:val="0"/>
                <w:numId w:val="38"/>
              </w:numPr>
              <w:spacing w:before="120" w:after="120" w:line="360" w:lineRule="auto"/>
              <w:jc w:val="both"/>
            </w:pPr>
            <w:r w:rsidRPr="00101926">
              <w:t>Serviciul evaluare și contractare proiecte</w:t>
            </w:r>
          </w:p>
          <w:p w14:paraId="50A13021" w14:textId="77777777" w:rsidR="00101926" w:rsidRPr="00101926" w:rsidRDefault="00101926" w:rsidP="00101926">
            <w:pPr>
              <w:pStyle w:val="ListParagraph"/>
              <w:numPr>
                <w:ilvl w:val="0"/>
                <w:numId w:val="38"/>
              </w:numPr>
              <w:spacing w:before="120" w:after="120" w:line="360" w:lineRule="auto"/>
              <w:jc w:val="both"/>
            </w:pPr>
            <w:r w:rsidRPr="00101926">
              <w:t>Direcția monitorizare proiecte cu: Serviciul monitorizare proiecte și Biroul monitorizare proiecte majore și mediul de afaceri</w:t>
            </w:r>
          </w:p>
          <w:p w14:paraId="64C7BB7B" w14:textId="6664462C" w:rsidR="00101926" w:rsidRPr="00101926" w:rsidRDefault="00101926" w:rsidP="00101926">
            <w:pPr>
              <w:pStyle w:val="ListParagraph"/>
              <w:numPr>
                <w:ilvl w:val="0"/>
                <w:numId w:val="38"/>
              </w:numPr>
              <w:spacing w:before="120" w:after="120" w:line="360" w:lineRule="auto"/>
              <w:jc w:val="both"/>
            </w:pPr>
            <w:r w:rsidRPr="00101926">
              <w:t>Direcția autorizare proiecte cu: Serviciul autorizare proiecte</w:t>
            </w:r>
            <w:r w:rsidR="00246E85">
              <w:t xml:space="preserve"> ș</w:t>
            </w:r>
            <w:r>
              <w:t>i Serviciul verificare achizi</w:t>
            </w:r>
            <w:r w:rsidR="00721F71">
              <w:t>ț</w:t>
            </w:r>
            <w:r>
              <w:t>ii publice</w:t>
            </w:r>
          </w:p>
          <w:p w14:paraId="758D738D" w14:textId="56ECD77D" w:rsidR="00203972" w:rsidRPr="0020304F" w:rsidRDefault="00203972" w:rsidP="00203972">
            <w:pPr>
              <w:pStyle w:val="ListParagraph"/>
              <w:numPr>
                <w:ilvl w:val="0"/>
                <w:numId w:val="38"/>
              </w:numPr>
              <w:spacing w:before="120" w:after="120" w:line="360" w:lineRule="auto"/>
              <w:jc w:val="both"/>
            </w:pPr>
            <w:r w:rsidRPr="0020304F">
              <w:t xml:space="preserve">Direcția management financiar cu: Serviciul plăți și contabilitate, Serviciul recuperare creanțe și Biroul </w:t>
            </w:r>
            <w:r w:rsidR="0020304F" w:rsidRPr="0020304F">
              <w:t>CFPP</w:t>
            </w:r>
          </w:p>
          <w:p w14:paraId="3A36163C" w14:textId="77777777" w:rsidR="0020304F" w:rsidRPr="0020304F" w:rsidRDefault="0020304F" w:rsidP="0020304F">
            <w:pPr>
              <w:pStyle w:val="ListParagraph"/>
              <w:numPr>
                <w:ilvl w:val="0"/>
                <w:numId w:val="38"/>
              </w:numPr>
              <w:spacing w:before="120" w:after="120" w:line="360" w:lineRule="auto"/>
              <w:jc w:val="both"/>
            </w:pPr>
            <w:r w:rsidRPr="0020304F">
              <w:t>Serviciul constatare nereguli și antifraudă</w:t>
            </w:r>
          </w:p>
          <w:p w14:paraId="78E76EBA" w14:textId="77777777" w:rsidR="0020304F" w:rsidRPr="0020304F" w:rsidRDefault="0020304F" w:rsidP="0020304F">
            <w:pPr>
              <w:pStyle w:val="ListParagraph"/>
              <w:numPr>
                <w:ilvl w:val="0"/>
                <w:numId w:val="38"/>
              </w:numPr>
              <w:spacing w:before="120" w:after="120" w:line="360" w:lineRule="auto"/>
              <w:jc w:val="both"/>
            </w:pPr>
            <w:r w:rsidRPr="0020304F">
              <w:t>Serviciul nereguli și monitorizare audit</w:t>
            </w:r>
          </w:p>
          <w:p w14:paraId="63D57806" w14:textId="77777777" w:rsidR="0020304F" w:rsidRPr="0020304F" w:rsidRDefault="0020304F" w:rsidP="0020304F">
            <w:pPr>
              <w:pStyle w:val="ListParagraph"/>
              <w:numPr>
                <w:ilvl w:val="0"/>
                <w:numId w:val="38"/>
              </w:numPr>
              <w:spacing w:before="120" w:after="120" w:line="360" w:lineRule="auto"/>
              <w:jc w:val="both"/>
            </w:pPr>
            <w:r w:rsidRPr="0020304F">
              <w:t>Compartimentul soluționare contestații</w:t>
            </w:r>
          </w:p>
          <w:p w14:paraId="041CEC76" w14:textId="77777777" w:rsidR="0049197C" w:rsidRDefault="0020304F" w:rsidP="0049197C">
            <w:pPr>
              <w:pStyle w:val="ListParagraph"/>
              <w:numPr>
                <w:ilvl w:val="0"/>
                <w:numId w:val="38"/>
              </w:numPr>
              <w:spacing w:before="120" w:after="120" w:line="360" w:lineRule="auto"/>
              <w:jc w:val="both"/>
            </w:pPr>
            <w:r w:rsidRPr="0020304F">
              <w:t>Serviciul asistență tehnică</w:t>
            </w:r>
          </w:p>
          <w:p w14:paraId="1B196386" w14:textId="7F9B46A3" w:rsidR="00630829" w:rsidRPr="001F44D1" w:rsidRDefault="0049197C" w:rsidP="00E455C7">
            <w:pPr>
              <w:pStyle w:val="ListParagraph"/>
              <w:numPr>
                <w:ilvl w:val="0"/>
                <w:numId w:val="38"/>
              </w:numPr>
              <w:spacing w:before="120" w:after="120" w:line="360" w:lineRule="auto"/>
              <w:jc w:val="both"/>
            </w:pPr>
            <w:r w:rsidRPr="001F44D1">
              <w:t>Direcția</w:t>
            </w:r>
            <w:r w:rsidR="00BE627F" w:rsidRPr="001F44D1">
              <w:t xml:space="preserve"> asistență gestionare programe operaționale r</w:t>
            </w:r>
            <w:r w:rsidR="007A59A8" w:rsidRPr="001F44D1">
              <w:t>egionale</w:t>
            </w:r>
            <w:r w:rsidR="00F652AD" w:rsidRPr="001F44D1">
              <w:t xml:space="preserve"> </w:t>
            </w:r>
          </w:p>
          <w:p w14:paraId="6163F979" w14:textId="27ED8176" w:rsidR="0096752A" w:rsidRPr="00BC311E" w:rsidRDefault="00E455C7" w:rsidP="00E455C7">
            <w:pPr>
              <w:spacing w:before="120" w:after="120" w:line="360" w:lineRule="auto"/>
              <w:jc w:val="both"/>
              <w:rPr>
                <w:color w:val="000000" w:themeColor="text1"/>
              </w:rPr>
            </w:pPr>
            <w:r w:rsidRPr="000747A9">
              <w:rPr>
                <w:b/>
                <w:color w:val="FF0000"/>
              </w:rPr>
              <w:t xml:space="preserve">- </w:t>
            </w:r>
            <w:r w:rsidR="00F652AD" w:rsidRPr="000747A9">
              <w:rPr>
                <w:b/>
                <w:color w:val="000000" w:themeColor="text1"/>
              </w:rPr>
              <w:t>reorganizarea</w:t>
            </w:r>
            <w:r w:rsidR="007C620B" w:rsidRPr="000747A9">
              <w:rPr>
                <w:b/>
                <w:color w:val="000000" w:themeColor="text1"/>
              </w:rPr>
              <w:t>/redimensionarea</w:t>
            </w:r>
            <w:r w:rsidR="00F652AD" w:rsidRPr="000747A9">
              <w:rPr>
                <w:b/>
                <w:color w:val="000000" w:themeColor="text1"/>
              </w:rPr>
              <w:t xml:space="preserve"> </w:t>
            </w:r>
            <w:r w:rsidR="00472882" w:rsidRPr="000747A9">
              <w:rPr>
                <w:b/>
                <w:color w:val="000000" w:themeColor="text1"/>
              </w:rPr>
              <w:t>Direcției cooperare europeană și internațională</w:t>
            </w:r>
            <w:r w:rsidR="00423783">
              <w:rPr>
                <w:color w:val="000000" w:themeColor="text1"/>
              </w:rPr>
              <w:t xml:space="preserve"> de la 22 posturi la 30</w:t>
            </w:r>
            <w:r w:rsidR="007C620B" w:rsidRPr="00BC311E">
              <w:rPr>
                <w:color w:val="000000" w:themeColor="text1"/>
              </w:rPr>
              <w:t xml:space="preserve"> posturi</w:t>
            </w:r>
            <w:r w:rsidR="00472882" w:rsidRPr="00BC311E">
              <w:rPr>
                <w:color w:val="000000" w:themeColor="text1"/>
              </w:rPr>
              <w:t xml:space="preserve"> prin </w:t>
            </w:r>
            <w:r w:rsidR="00423783">
              <w:rPr>
                <w:color w:val="000000" w:themeColor="text1"/>
              </w:rPr>
              <w:t xml:space="preserve">suplimentarea cu 2 posturi vacante și prin </w:t>
            </w:r>
            <w:r w:rsidR="00472882" w:rsidRPr="00BC311E">
              <w:rPr>
                <w:color w:val="000000" w:themeColor="text1"/>
              </w:rPr>
              <w:t>preluarea Biroului punct național de contact pentru romi</w:t>
            </w:r>
            <w:r w:rsidRPr="00BC311E">
              <w:rPr>
                <w:color w:val="000000" w:themeColor="text1"/>
              </w:rPr>
              <w:t xml:space="preserve"> (preluarea personalului și a activității aferente) din cadrul</w:t>
            </w:r>
            <w:r w:rsidR="00421F2F" w:rsidRPr="00BC311E">
              <w:rPr>
                <w:color w:val="000000" w:themeColor="text1"/>
              </w:rPr>
              <w:t xml:space="preserve"> Serviciul</w:t>
            </w:r>
            <w:r w:rsidRPr="00BC311E">
              <w:rPr>
                <w:color w:val="000000" w:themeColor="text1"/>
              </w:rPr>
              <w:t>ui</w:t>
            </w:r>
            <w:r w:rsidR="00421F2F" w:rsidRPr="00BC311E">
              <w:rPr>
                <w:color w:val="000000" w:themeColor="text1"/>
              </w:rPr>
              <w:t xml:space="preserve"> </w:t>
            </w:r>
            <w:r w:rsidR="00472882" w:rsidRPr="00BC311E">
              <w:rPr>
                <w:color w:val="000000" w:themeColor="text1"/>
              </w:rPr>
              <w:t>evaluare programe și politici de coeziune socială, Direcția generală programare și coordonare sistem</w:t>
            </w:r>
            <w:r w:rsidR="00421F2F" w:rsidRPr="00BC311E">
              <w:rPr>
                <w:color w:val="000000" w:themeColor="text1"/>
              </w:rPr>
              <w:t>,</w:t>
            </w:r>
            <w:r w:rsidRPr="00BC311E">
              <w:rPr>
                <w:color w:val="000000" w:themeColor="text1"/>
              </w:rPr>
              <w:t xml:space="preserve"> cu încadrarea personalului în mod corespunzător</w:t>
            </w:r>
            <w:r w:rsidR="0096752A" w:rsidRPr="00BC311E">
              <w:rPr>
                <w:color w:val="000000" w:themeColor="text1"/>
              </w:rPr>
              <w:t xml:space="preserve">, având în vedere atribuțiile specifice ale Direcției cooperare europeană și internațională în ceea ce privește coordonarea relațiilor de colaborare cu instituții similare din Statele membre UE, statele asociate UE sau Statele </w:t>
            </w:r>
            <w:r w:rsidR="00877C12" w:rsidRPr="00BC311E">
              <w:rPr>
                <w:color w:val="000000" w:themeColor="text1"/>
              </w:rPr>
              <w:t>non-membre UE, reprezentanțelor organismelor și organizațiile internaționale specializate, cu misiunile și reprezentanțele diplomatice ale Rom</w:t>
            </w:r>
            <w:r w:rsidR="00721F71">
              <w:rPr>
                <w:color w:val="000000" w:themeColor="text1"/>
              </w:rPr>
              <w:t>â</w:t>
            </w:r>
            <w:r w:rsidR="00877C12" w:rsidRPr="00BC311E">
              <w:rPr>
                <w:color w:val="000000" w:themeColor="text1"/>
              </w:rPr>
              <w:t>niei pentru domeniile de competențe MIPE, precum și îndeplinirea atribuțiilor de Punct de Contact pentru implementarea Convenției privind drepturile persoanelor cu Dizabilități.</w:t>
            </w:r>
          </w:p>
          <w:p w14:paraId="1F4A7164" w14:textId="34A2B13F" w:rsidR="007446A7" w:rsidRDefault="00877C12" w:rsidP="00BC311E">
            <w:pPr>
              <w:pStyle w:val="ListParagraph"/>
              <w:spacing w:before="120" w:after="120" w:line="360" w:lineRule="auto"/>
              <w:ind w:left="34"/>
              <w:jc w:val="both"/>
              <w:rPr>
                <w:rFonts w:ascii="Times New Roman" w:eastAsia="Times New Roman" w:hAnsi="Times New Roman" w:cs="Times New Roman"/>
                <w:color w:val="000000" w:themeColor="text1"/>
              </w:rPr>
            </w:pPr>
            <w:r w:rsidRPr="00BC311E">
              <w:rPr>
                <w:rFonts w:ascii="Times New Roman" w:eastAsia="Times New Roman" w:hAnsi="Times New Roman" w:cs="Times New Roman"/>
                <w:color w:val="000000" w:themeColor="text1"/>
              </w:rPr>
              <w:t xml:space="preserve">În virtutea acestui rol, </w:t>
            </w:r>
            <w:r w:rsidR="00D54325" w:rsidRPr="00BC311E">
              <w:rPr>
                <w:rFonts w:ascii="Times New Roman" w:eastAsia="Times New Roman" w:hAnsi="Times New Roman" w:cs="Times New Roman"/>
                <w:color w:val="000000" w:themeColor="text1"/>
              </w:rPr>
              <w:t>există acțiuni sinergice/complementare cu cele specifice Punctului național de contact pentru romi, spre exemplu</w:t>
            </w:r>
            <w:r w:rsidR="00E27344" w:rsidRPr="00BC311E">
              <w:rPr>
                <w:rFonts w:ascii="Times New Roman" w:eastAsia="Times New Roman" w:hAnsi="Times New Roman" w:cs="Times New Roman"/>
                <w:color w:val="000000" w:themeColor="text1"/>
              </w:rPr>
              <w:t xml:space="preserve">, misiunea Comitetului Economic, Social European derulată în România, care a urmărit situația persoanelor care ar suferi de discriminare multiplă, respectiv a persoanelor cu </w:t>
            </w:r>
            <w:r w:rsidR="009C2D5E" w:rsidRPr="00BC311E">
              <w:rPr>
                <w:rFonts w:ascii="Times New Roman" w:eastAsia="Times New Roman" w:hAnsi="Times New Roman" w:cs="Times New Roman"/>
                <w:color w:val="000000" w:themeColor="text1"/>
              </w:rPr>
              <w:t>dizabilități care aparțin etniei romilor</w:t>
            </w:r>
            <w:r w:rsidR="007C620B" w:rsidRPr="00BC311E">
              <w:rPr>
                <w:rFonts w:ascii="Times New Roman" w:eastAsia="Times New Roman" w:hAnsi="Times New Roman" w:cs="Times New Roman"/>
                <w:color w:val="000000" w:themeColor="text1"/>
              </w:rPr>
              <w:t>.</w:t>
            </w:r>
          </w:p>
          <w:p w14:paraId="6076915B" w14:textId="77777777" w:rsidR="00E84287" w:rsidRPr="00BC311E" w:rsidRDefault="00E84287" w:rsidP="00BC311E">
            <w:pPr>
              <w:pStyle w:val="ListParagraph"/>
              <w:spacing w:before="120" w:after="120" w:line="360" w:lineRule="auto"/>
              <w:ind w:left="34"/>
              <w:jc w:val="both"/>
              <w:rPr>
                <w:rFonts w:ascii="Times New Roman" w:eastAsia="Times New Roman" w:hAnsi="Times New Roman" w:cs="Times New Roman"/>
                <w:color w:val="000000" w:themeColor="text1"/>
              </w:rPr>
            </w:pPr>
          </w:p>
          <w:p w14:paraId="1BF98FF4" w14:textId="2CC3C3BF" w:rsidR="006C28DB" w:rsidRDefault="00BC311E" w:rsidP="00BC311E">
            <w:pPr>
              <w:pStyle w:val="ListParagraph"/>
              <w:spacing w:before="120" w:after="120" w:line="360" w:lineRule="auto"/>
              <w:ind w:left="0"/>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00AF1F1E" w:rsidRPr="000747A9">
              <w:rPr>
                <w:rFonts w:ascii="Times New Roman" w:eastAsia="Times New Roman" w:hAnsi="Times New Roman" w:cs="Times New Roman"/>
                <w:b/>
                <w:color w:val="000000" w:themeColor="text1"/>
              </w:rPr>
              <w:t xml:space="preserve">redimensionarea </w:t>
            </w:r>
            <w:r w:rsidR="002753E4" w:rsidRPr="000747A9">
              <w:rPr>
                <w:rFonts w:ascii="Times New Roman" w:eastAsia="Times New Roman" w:hAnsi="Times New Roman" w:cs="Times New Roman"/>
                <w:b/>
                <w:color w:val="000000" w:themeColor="text1"/>
              </w:rPr>
              <w:t>Direcției generale programare și coordonare sistem</w:t>
            </w:r>
            <w:r w:rsidR="002753E4" w:rsidRPr="00BC311E">
              <w:rPr>
                <w:rFonts w:ascii="Times New Roman" w:eastAsia="Times New Roman" w:hAnsi="Times New Roman" w:cs="Times New Roman"/>
                <w:color w:val="000000" w:themeColor="text1"/>
              </w:rPr>
              <w:t xml:space="preserve"> de la 71 posturi la 74 posturi            (implicit redimensionarea </w:t>
            </w:r>
            <w:r w:rsidR="00AF1F1E" w:rsidRPr="00BC311E">
              <w:rPr>
                <w:rFonts w:ascii="Times New Roman" w:eastAsia="Times New Roman" w:hAnsi="Times New Roman" w:cs="Times New Roman"/>
                <w:color w:val="000000" w:themeColor="text1"/>
              </w:rPr>
              <w:t>Serviciului evaluare programe și politici de coeziune socială</w:t>
            </w:r>
            <w:r w:rsidR="00E84287">
              <w:rPr>
                <w:rFonts w:ascii="Times New Roman" w:eastAsia="Times New Roman" w:hAnsi="Times New Roman" w:cs="Times New Roman"/>
                <w:color w:val="000000" w:themeColor="text1"/>
              </w:rPr>
              <w:t xml:space="preserve">, </w:t>
            </w:r>
            <w:r w:rsidR="00F707CE" w:rsidRPr="00BC311E">
              <w:rPr>
                <w:rFonts w:ascii="Times New Roman" w:eastAsia="Times New Roman" w:hAnsi="Times New Roman" w:cs="Times New Roman"/>
                <w:color w:val="000000" w:themeColor="text1"/>
              </w:rPr>
              <w:t>ca urmare a prelu</w:t>
            </w:r>
            <w:r w:rsidR="00721F71">
              <w:rPr>
                <w:rFonts w:ascii="Times New Roman" w:eastAsia="Times New Roman" w:hAnsi="Times New Roman" w:cs="Times New Roman"/>
                <w:color w:val="000000" w:themeColor="text1"/>
              </w:rPr>
              <w:t>ă</w:t>
            </w:r>
            <w:r w:rsidR="00F707CE" w:rsidRPr="00BC311E">
              <w:rPr>
                <w:rFonts w:ascii="Times New Roman" w:eastAsia="Times New Roman" w:hAnsi="Times New Roman" w:cs="Times New Roman"/>
                <w:color w:val="000000" w:themeColor="text1"/>
              </w:rPr>
              <w:t>rii Biroului punct național de contact pentru romi</w:t>
            </w:r>
            <w:r w:rsidR="00922383" w:rsidRPr="00BC311E">
              <w:rPr>
                <w:rFonts w:ascii="Times New Roman" w:eastAsia="Times New Roman" w:hAnsi="Times New Roman" w:cs="Times New Roman"/>
                <w:color w:val="000000" w:themeColor="text1"/>
              </w:rPr>
              <w:t xml:space="preserve"> î</w:t>
            </w:r>
            <w:r w:rsidR="00F707CE" w:rsidRPr="00BC311E">
              <w:rPr>
                <w:rFonts w:ascii="Times New Roman" w:eastAsia="Times New Roman" w:hAnsi="Times New Roman" w:cs="Times New Roman"/>
                <w:color w:val="000000" w:themeColor="text1"/>
              </w:rPr>
              <w:t>n cadrul Direcției cooperare europeană și internațională</w:t>
            </w:r>
            <w:r w:rsidR="00E84287">
              <w:rPr>
                <w:rFonts w:ascii="Times New Roman" w:eastAsia="Times New Roman" w:hAnsi="Times New Roman" w:cs="Times New Roman"/>
                <w:color w:val="000000" w:themeColor="text1"/>
              </w:rPr>
              <w:t>) și suplimentarea cu 3 posturi vacante a acestui serviciu,</w:t>
            </w:r>
            <w:r w:rsidR="0096752A" w:rsidRPr="00BC311E">
              <w:rPr>
                <w:rFonts w:ascii="Times New Roman" w:eastAsia="Times New Roman" w:hAnsi="Times New Roman" w:cs="Times New Roman"/>
                <w:color w:val="000000" w:themeColor="text1"/>
              </w:rPr>
              <w:t xml:space="preserve"> având în vedere problematica vastă gestionată și gradul de încărcare a personalului existent</w:t>
            </w:r>
          </w:p>
          <w:p w14:paraId="2C7BF2C7" w14:textId="77777777" w:rsidR="000747A9" w:rsidRDefault="000747A9" w:rsidP="00BC311E">
            <w:pPr>
              <w:pStyle w:val="ListParagraph"/>
              <w:spacing w:before="120" w:after="120" w:line="360" w:lineRule="auto"/>
              <w:ind w:left="0"/>
              <w:jc w:val="both"/>
              <w:rPr>
                <w:rFonts w:ascii="Times New Roman" w:eastAsia="Times New Roman" w:hAnsi="Times New Roman" w:cs="Times New Roman"/>
                <w:color w:val="000000" w:themeColor="text1"/>
              </w:rPr>
            </w:pPr>
          </w:p>
          <w:p w14:paraId="4702227B" w14:textId="7FA2E6B0" w:rsidR="000747A9" w:rsidRPr="000747A9" w:rsidRDefault="000747A9" w:rsidP="000747A9">
            <w:pPr>
              <w:pStyle w:val="ListParagraph"/>
              <w:spacing w:after="120" w:line="360" w:lineRule="auto"/>
              <w:ind w:left="34"/>
              <w:jc w:val="both"/>
              <w:rPr>
                <w:rFonts w:ascii="Times New Roman" w:eastAsia="Times New Roman" w:hAnsi="Times New Roman" w:cs="Times New Roman"/>
                <w:color w:val="000000" w:themeColor="text1"/>
              </w:rPr>
            </w:pPr>
            <w:r>
              <w:rPr>
                <w:rFonts w:ascii="Trebuchet MS" w:eastAsia="Times New Roman" w:hAnsi="Trebuchet MS" w:cs="Times New Roman"/>
                <w:b/>
                <w:color w:val="00B050"/>
                <w:sz w:val="22"/>
                <w:szCs w:val="22"/>
              </w:rPr>
              <w:t>-</w:t>
            </w:r>
            <w:r w:rsidR="00D202C1">
              <w:rPr>
                <w:rFonts w:ascii="Times New Roman" w:eastAsia="Times New Roman" w:hAnsi="Times New Roman" w:cs="Times New Roman"/>
                <w:b/>
                <w:color w:val="000000" w:themeColor="text1"/>
              </w:rPr>
              <w:t>redenumirea</w:t>
            </w:r>
            <w:r w:rsidRPr="000747A9">
              <w:rPr>
                <w:rFonts w:ascii="Times New Roman" w:eastAsia="Times New Roman" w:hAnsi="Times New Roman" w:cs="Times New Roman"/>
                <w:b/>
                <w:color w:val="000000" w:themeColor="text1"/>
              </w:rPr>
              <w:t xml:space="preserve"> Direcției generale creștere inteligentă, digitalizare</w:t>
            </w:r>
            <w:r w:rsidRPr="000747A9">
              <w:rPr>
                <w:rFonts w:ascii="Times New Roman" w:eastAsia="Times New Roman" w:hAnsi="Times New Roman" w:cs="Times New Roman"/>
                <w:color w:val="000000" w:themeColor="text1"/>
              </w:rPr>
              <w:t xml:space="preserve"> în Direcția generală program operațional competitivitate, cu un num</w:t>
            </w:r>
            <w:r w:rsidR="00721F71">
              <w:rPr>
                <w:rFonts w:ascii="Times New Roman" w:eastAsia="Times New Roman" w:hAnsi="Times New Roman" w:cs="Times New Roman"/>
                <w:color w:val="000000" w:themeColor="text1"/>
              </w:rPr>
              <w:t>ă</w:t>
            </w:r>
            <w:r w:rsidRPr="000747A9">
              <w:rPr>
                <w:rFonts w:ascii="Times New Roman" w:eastAsia="Times New Roman" w:hAnsi="Times New Roman" w:cs="Times New Roman"/>
                <w:color w:val="000000" w:themeColor="text1"/>
              </w:rPr>
              <w:t>r alocat de 131 posturi, cu încadrarea personalului cu respectarea prevederilor art. 518 și ale art.562 din O.U.G nr.57/2019 privind Codul administrativ, cu modificările și completările ulterioare, în vederea îndeplinirii rolului de Autoritate de management pentru Programul operațional sectorial competitivitate 2014-2020 și pentru Programul operațional sectorial “Creșterea Competitivității Economice” 2007-2014</w:t>
            </w:r>
          </w:p>
          <w:p w14:paraId="37F190FD" w14:textId="78D44411" w:rsidR="000747A9" w:rsidRPr="000747A9" w:rsidRDefault="00005888" w:rsidP="000747A9">
            <w:pPr>
              <w:pStyle w:val="NormalWeb"/>
              <w:shd w:val="clear" w:color="auto" w:fill="FFFFFF"/>
              <w:spacing w:before="0" w:beforeAutospacing="0" w:after="120" w:afterAutospacing="0" w:line="360" w:lineRule="auto"/>
              <w:jc w:val="both"/>
              <w:rPr>
                <w:rFonts w:eastAsia="Times New Roman"/>
                <w:color w:val="000000" w:themeColor="text1"/>
                <w:lang w:eastAsia="en-US"/>
              </w:rPr>
            </w:pPr>
            <w:hyperlink r:id="rId11" w:history="1">
              <w:r w:rsidR="000747A9" w:rsidRPr="000747A9">
                <w:rPr>
                  <w:rFonts w:eastAsia="Times New Roman"/>
                  <w:color w:val="000000" w:themeColor="text1"/>
                  <w:lang w:eastAsia="en-US"/>
                </w:rPr>
                <w:t>Programul Operațional Competitivitate (POC) </w:t>
              </w:r>
            </w:hyperlink>
            <w:r w:rsidR="000747A9" w:rsidRPr="000747A9">
              <w:rPr>
                <w:rFonts w:eastAsia="Times New Roman"/>
                <w:color w:val="000000" w:themeColor="text1"/>
                <w:lang w:eastAsia="en-US"/>
              </w:rPr>
              <w:t>susține investiții care răspund nevoilor și provocărilor legate de nivelul redus al competitivității economice, în  cercetare, dezvoltare și inovare (CDI) și în Tehnologia Informației și a Comunicațiilor (TIC), și sprijină IMM-urile în vederea depă</w:t>
            </w:r>
            <w:r w:rsidR="00721F71">
              <w:rPr>
                <w:rFonts w:eastAsia="Times New Roman"/>
                <w:color w:val="000000" w:themeColor="text1"/>
                <w:lang w:eastAsia="en-US"/>
              </w:rPr>
              <w:t>ș</w:t>
            </w:r>
            <w:r w:rsidR="000747A9" w:rsidRPr="000747A9">
              <w:rPr>
                <w:rFonts w:eastAsia="Times New Roman"/>
                <w:color w:val="000000" w:themeColor="text1"/>
                <w:lang w:eastAsia="en-US"/>
              </w:rPr>
              <w:t>irii crizei economice generate de pandemia COVID-19 și ameliorării efectelor provocate de criză în contextul pandemiei de COVID-19 și al consecințelor sale sociale și pentru pregătirea unei redresări verzi, digitale și rezilien</w:t>
            </w:r>
            <w:r w:rsidR="00721F71">
              <w:rPr>
                <w:rFonts w:eastAsia="Times New Roman"/>
                <w:color w:val="000000" w:themeColor="text1"/>
                <w:lang w:eastAsia="en-US"/>
              </w:rPr>
              <w:t>ț</w:t>
            </w:r>
            <w:r w:rsidR="000747A9" w:rsidRPr="000747A9">
              <w:rPr>
                <w:rFonts w:eastAsia="Times New Roman"/>
                <w:color w:val="000000" w:themeColor="text1"/>
                <w:lang w:eastAsia="en-US"/>
              </w:rPr>
              <w:t>e a economiei. Aceste intervenții orizontale în economie și societate generează creștere și sustenabilitate și vizează dezvoltarea competitivității economiei românești.</w:t>
            </w:r>
          </w:p>
          <w:p w14:paraId="49541E9D" w14:textId="77777777" w:rsidR="000747A9" w:rsidRPr="000747A9" w:rsidRDefault="000747A9" w:rsidP="000747A9">
            <w:pPr>
              <w:pStyle w:val="NormalWeb"/>
              <w:shd w:val="clear" w:color="auto" w:fill="FFFFFF"/>
              <w:spacing w:before="0" w:beforeAutospacing="0" w:after="120" w:afterAutospacing="0" w:line="360" w:lineRule="auto"/>
              <w:jc w:val="both"/>
              <w:rPr>
                <w:rFonts w:eastAsia="Times New Roman"/>
                <w:color w:val="000000" w:themeColor="text1"/>
                <w:lang w:eastAsia="en-US"/>
              </w:rPr>
            </w:pPr>
            <w:r w:rsidRPr="000747A9">
              <w:rPr>
                <w:rFonts w:eastAsia="Times New Roman"/>
                <w:color w:val="000000" w:themeColor="text1"/>
                <w:lang w:eastAsia="en-US"/>
              </w:rPr>
              <w:t>POC finanțează dezvoltarea următoarelor domenii de specializare inteligentă identificate în cadrul Strategiei Naționale de Cercetare Inovare 2014-2020.</w:t>
            </w:r>
          </w:p>
          <w:p w14:paraId="3B274BAC" w14:textId="77777777" w:rsidR="000747A9" w:rsidRPr="000747A9" w:rsidRDefault="000747A9" w:rsidP="00B956B6">
            <w:pPr>
              <w:numPr>
                <w:ilvl w:val="0"/>
                <w:numId w:val="38"/>
              </w:numPr>
              <w:shd w:val="clear" w:color="auto" w:fill="FFFFFF"/>
              <w:spacing w:after="120" w:line="360" w:lineRule="auto"/>
              <w:rPr>
                <w:color w:val="000000" w:themeColor="text1"/>
              </w:rPr>
            </w:pPr>
            <w:r w:rsidRPr="000747A9">
              <w:rPr>
                <w:color w:val="000000" w:themeColor="text1"/>
              </w:rPr>
              <w:t>bioeconomie;</w:t>
            </w:r>
          </w:p>
          <w:p w14:paraId="6D8EC8C4" w14:textId="134A81CC" w:rsidR="000747A9" w:rsidRPr="000747A9" w:rsidRDefault="000747A9" w:rsidP="00B956B6">
            <w:pPr>
              <w:numPr>
                <w:ilvl w:val="0"/>
                <w:numId w:val="38"/>
              </w:numPr>
              <w:shd w:val="clear" w:color="auto" w:fill="FFFFFF"/>
              <w:spacing w:after="120" w:line="360" w:lineRule="auto"/>
              <w:rPr>
                <w:color w:val="000000" w:themeColor="text1"/>
              </w:rPr>
            </w:pPr>
            <w:r w:rsidRPr="000747A9">
              <w:rPr>
                <w:color w:val="000000" w:themeColor="text1"/>
              </w:rPr>
              <w:t>tehnologia informa</w:t>
            </w:r>
            <w:r w:rsidR="00721F71">
              <w:rPr>
                <w:color w:val="000000" w:themeColor="text1"/>
              </w:rPr>
              <w:t>ț</w:t>
            </w:r>
            <w:r w:rsidRPr="000747A9">
              <w:rPr>
                <w:color w:val="000000" w:themeColor="text1"/>
              </w:rPr>
              <w:t xml:space="preserve">iei </w:t>
            </w:r>
            <w:r w:rsidR="00721F71">
              <w:rPr>
                <w:color w:val="000000" w:themeColor="text1"/>
              </w:rPr>
              <w:t>ș</w:t>
            </w:r>
            <w:r w:rsidRPr="000747A9">
              <w:rPr>
                <w:color w:val="000000" w:themeColor="text1"/>
              </w:rPr>
              <w:t>i a comunica</w:t>
            </w:r>
            <w:r w:rsidR="00721F71">
              <w:rPr>
                <w:color w:val="000000" w:themeColor="text1"/>
              </w:rPr>
              <w:t>ț</w:t>
            </w:r>
            <w:r w:rsidRPr="000747A9">
              <w:rPr>
                <w:color w:val="000000" w:themeColor="text1"/>
              </w:rPr>
              <w:t>iilor, spa</w:t>
            </w:r>
            <w:r w:rsidR="00721F71">
              <w:rPr>
                <w:color w:val="000000" w:themeColor="text1"/>
              </w:rPr>
              <w:t>ț</w:t>
            </w:r>
            <w:r w:rsidRPr="000747A9">
              <w:rPr>
                <w:color w:val="000000" w:themeColor="text1"/>
              </w:rPr>
              <w:t>iu și securitate;</w:t>
            </w:r>
          </w:p>
          <w:p w14:paraId="19B90BC1" w14:textId="77777777" w:rsidR="000747A9" w:rsidRPr="000747A9" w:rsidRDefault="000747A9" w:rsidP="00B956B6">
            <w:pPr>
              <w:numPr>
                <w:ilvl w:val="0"/>
                <w:numId w:val="38"/>
              </w:numPr>
              <w:shd w:val="clear" w:color="auto" w:fill="FFFFFF"/>
              <w:spacing w:after="120" w:line="360" w:lineRule="auto"/>
              <w:rPr>
                <w:color w:val="000000" w:themeColor="text1"/>
              </w:rPr>
            </w:pPr>
            <w:r w:rsidRPr="000747A9">
              <w:rPr>
                <w:color w:val="000000" w:themeColor="text1"/>
              </w:rPr>
              <w:t>energie, mediu și schimbări climatice;</w:t>
            </w:r>
          </w:p>
          <w:p w14:paraId="6B04AB06" w14:textId="77777777" w:rsidR="000747A9" w:rsidRPr="000747A9" w:rsidRDefault="000747A9" w:rsidP="00B956B6">
            <w:pPr>
              <w:numPr>
                <w:ilvl w:val="0"/>
                <w:numId w:val="38"/>
              </w:numPr>
              <w:shd w:val="clear" w:color="auto" w:fill="FFFFFF"/>
              <w:spacing w:after="120" w:line="360" w:lineRule="auto"/>
              <w:rPr>
                <w:color w:val="000000" w:themeColor="text1"/>
              </w:rPr>
            </w:pPr>
            <w:r w:rsidRPr="000747A9">
              <w:rPr>
                <w:color w:val="000000" w:themeColor="text1"/>
              </w:rPr>
              <w:t>eco-nano-tehnologii și materiale avansate.</w:t>
            </w:r>
          </w:p>
          <w:p w14:paraId="2D220310" w14:textId="0B598059" w:rsidR="000747A9" w:rsidRPr="000747A9" w:rsidRDefault="000747A9" w:rsidP="000747A9">
            <w:pPr>
              <w:shd w:val="clear" w:color="auto" w:fill="FFFFFF"/>
              <w:spacing w:after="120" w:line="360" w:lineRule="auto"/>
              <w:jc w:val="both"/>
              <w:rPr>
                <w:color w:val="000000" w:themeColor="text1"/>
              </w:rPr>
            </w:pPr>
            <w:r>
              <w:rPr>
                <w:color w:val="000000" w:themeColor="text1"/>
              </w:rPr>
              <w:t>Î</w:t>
            </w:r>
            <w:r w:rsidRPr="000747A9">
              <w:rPr>
                <w:color w:val="000000" w:themeColor="text1"/>
              </w:rPr>
              <w:t>n ceea ce privește programele POSCCE 2007-2014 și POC 2014-2020, provocările la nivelul Guvernului pentru perioada următoare sunt deosebite, eforturile trebuind să se concentreze pentru închiderea programelor, asigurarea unui grad de absorbție cât mai ridicat la nivelul alocării. Lansarea în anul 2022 a unor apeluri de proiecte, operațiune specifică perioadelor de început a cadrelor programatice</w:t>
            </w:r>
            <w:r w:rsidRPr="000747A9">
              <w:rPr>
                <w:rFonts w:ascii="Trebuchet MS" w:hAnsi="Trebuchet MS"/>
                <w:color w:val="000000" w:themeColor="text1"/>
                <w:sz w:val="22"/>
                <w:szCs w:val="22"/>
              </w:rPr>
              <w:t xml:space="preserve"> financiare, ridică provocări deosebite pentru realizarea în interiorul unor constrângeri de timp a realizării indicatorilor de program și absorbția fondurilor cu accent deosebit pe implementare, </w:t>
            </w:r>
            <w:r w:rsidRPr="000747A9">
              <w:rPr>
                <w:color w:val="000000" w:themeColor="text1"/>
              </w:rPr>
              <w:t xml:space="preserve">monitorizare, verificări de achiziții, autorizare cheltuieli, plăți și control. În acest sens, subliniem în mod deosebit Axele prioritare 3 și 4, cu o alocare de 1,1 miliarde de euro, care trebuie gestionate în mod direct de către autoritatea de management. Astfel, Axa prioritară 3 aduce în sarcina autorității de management verificări extinse de management și control, precum și asigurarea declarării la Comisia Europeană a cheltuielilor realizate de aproximativ 60.000 beneficiari finali. În plus, Axa prioritară 4, aflată în proces de evaluare și contractare, </w:t>
            </w:r>
            <w:r w:rsidRPr="000747A9">
              <w:rPr>
                <w:color w:val="000000" w:themeColor="text1"/>
              </w:rPr>
              <w:lastRenderedPageBreak/>
              <w:t>va genera în sarcina autorității de management întreg ciclul de gestionare directă pentru peste 2000 de beneficiari.  Toate aceste obligații generează un grad de mobilizare deosebit la nivelul direcției generale printr-un nivel crescut al activităților de implementare/monitorizare, verificare a achizițiilor, plăți și declarații de cheltuieli, constatarea neregulilor și recuperarea creanțelor.</w:t>
            </w:r>
          </w:p>
          <w:p w14:paraId="4C0F5524" w14:textId="2BB416E7" w:rsidR="000747A9" w:rsidRPr="000747A9" w:rsidRDefault="000747A9" w:rsidP="000747A9">
            <w:pPr>
              <w:pStyle w:val="Default"/>
              <w:spacing w:after="120" w:line="360" w:lineRule="auto"/>
              <w:jc w:val="both"/>
              <w:rPr>
                <w:rFonts w:ascii="Times New Roman" w:eastAsia="Times New Roman" w:hAnsi="Times New Roman" w:cs="Times New Roman"/>
                <w:color w:val="000000" w:themeColor="text1"/>
                <w:lang w:val="ro-RO"/>
              </w:rPr>
            </w:pPr>
            <w:r w:rsidRPr="000747A9">
              <w:rPr>
                <w:rFonts w:ascii="Times New Roman" w:eastAsia="Times New Roman" w:hAnsi="Times New Roman" w:cs="Times New Roman"/>
                <w:color w:val="000000" w:themeColor="text1"/>
                <w:lang w:val="ro-RO"/>
              </w:rPr>
              <w:t xml:space="preserve">În aceste condiții, s-a identificat în mod imperativ necesitatea separării activităților din perioadele de programare anterioare, respectiv 2007 – 2013 și 2014 – 2020, față de exigențele impuse de obligațiile autorității de management care va gestiona noul Program creștere inteligentă, digitalizare și instrumente financiară, aprobat prin Decizia Comisiei Europene CCI 2021RO16RFPR001, din data de 09 decembrie 2022, cu o alocare de 2.201 milioane euro, din care FEDR 1.650 milioane euro. </w:t>
            </w:r>
          </w:p>
          <w:p w14:paraId="375ED49D" w14:textId="36DF7276" w:rsidR="000747A9" w:rsidRPr="00E43A45" w:rsidRDefault="000747A9" w:rsidP="000747A9">
            <w:pPr>
              <w:shd w:val="clear" w:color="auto" w:fill="FFFFFF"/>
              <w:spacing w:after="120" w:line="360" w:lineRule="auto"/>
              <w:jc w:val="both"/>
              <w:rPr>
                <w:color w:val="000000" w:themeColor="text1"/>
              </w:rPr>
            </w:pPr>
            <w:r w:rsidRPr="000747A9">
              <w:rPr>
                <w:color w:val="000000" w:themeColor="text1"/>
              </w:rPr>
              <w:t xml:space="preserve">Pentru noua perioadă de programare, provocările autorității de management sunt pe lângă finanțarea unor noi activități de cercetare inovare, identificarea actorilor relevanți pe piață, încurajarea colaborărilor între mediul universitar de cercetare-inovare și cel din mediul de afaceri, gestionarea lansării unor apeluri relevante, semnarea, implementarea și plata contractelor de finanțare cu realizarea indicatorilor asumați. </w:t>
            </w:r>
          </w:p>
          <w:p w14:paraId="690B0D57" w14:textId="77777777" w:rsidR="000747A9" w:rsidRPr="00E43A45" w:rsidRDefault="000747A9" w:rsidP="00E43A45">
            <w:pPr>
              <w:shd w:val="clear" w:color="auto" w:fill="FFFFFF"/>
              <w:spacing w:after="120" w:line="360" w:lineRule="auto"/>
              <w:jc w:val="both"/>
              <w:rPr>
                <w:color w:val="000000" w:themeColor="text1"/>
              </w:rPr>
            </w:pPr>
            <w:r w:rsidRPr="00E43A45">
              <w:rPr>
                <w:color w:val="000000" w:themeColor="text1"/>
              </w:rPr>
              <w:t xml:space="preserve">Astfel, </w:t>
            </w:r>
            <w:r w:rsidRPr="00E43A45">
              <w:rPr>
                <w:b/>
                <w:color w:val="000000" w:themeColor="text1"/>
              </w:rPr>
              <w:t>se propune înființarea Direcției generale pentru dezvoltarea inovării și a societății digitalizate</w:t>
            </w:r>
            <w:r w:rsidRPr="00E43A45">
              <w:rPr>
                <w:color w:val="000000" w:themeColor="text1"/>
              </w:rPr>
              <w:t xml:space="preserve"> cu un număr alocat de 94 posturi, în vederea îndeplinirii rolului de autoritate de management pentru Programul operațional sectorial creștere inteligentă, digitalizare și instrumente financiare 2021-2027 în domeniile cercetării, dezvoltării și inovării/specializării inteligente și al digitalizării, inclusiv sectorul cultural, pentru a răspunde provocărilor identificate la nivel național. </w:t>
            </w:r>
          </w:p>
          <w:p w14:paraId="680BAE93" w14:textId="4DBE502E" w:rsidR="000747A9" w:rsidRPr="00E43A45" w:rsidRDefault="000747A9" w:rsidP="00E43A45">
            <w:pPr>
              <w:spacing w:after="120" w:line="360" w:lineRule="auto"/>
              <w:jc w:val="both"/>
              <w:rPr>
                <w:color w:val="000000" w:themeColor="text1"/>
              </w:rPr>
            </w:pPr>
            <w:r w:rsidRPr="00E43A45">
              <w:rPr>
                <w:color w:val="000000" w:themeColor="text1"/>
              </w:rPr>
              <w:t xml:space="preserve">Programul propune măsuri în domeniile cercetării, dezvoltării </w:t>
            </w:r>
            <w:r w:rsidR="00721F71">
              <w:rPr>
                <w:color w:val="000000" w:themeColor="text1"/>
              </w:rPr>
              <w:t>ș</w:t>
            </w:r>
            <w:r w:rsidRPr="00E43A45">
              <w:rPr>
                <w:color w:val="000000" w:themeColor="text1"/>
              </w:rPr>
              <w:t xml:space="preserve">i inovării/specializării inteligente și în domeniul digitalizării la nivelul administrației publice centrale, finanțate fie prin granturi, fie prin instrumente financiare cu respectarea regulilor de ajutor de stat, după caz, pentru a răspunde provocărilor identificate la nivel național. </w:t>
            </w:r>
          </w:p>
          <w:p w14:paraId="233533CB" w14:textId="0930900C" w:rsidR="000747A9" w:rsidRPr="00E43A45" w:rsidRDefault="000747A9" w:rsidP="00E43A45">
            <w:pPr>
              <w:pStyle w:val="ListParagraph"/>
              <w:spacing w:after="120" w:line="360" w:lineRule="auto"/>
              <w:ind w:left="0"/>
              <w:jc w:val="both"/>
              <w:rPr>
                <w:rFonts w:ascii="Times New Roman" w:eastAsia="Times New Roman" w:hAnsi="Times New Roman" w:cs="Times New Roman"/>
                <w:color w:val="000000" w:themeColor="text1"/>
              </w:rPr>
            </w:pPr>
            <w:r w:rsidRPr="00E43A45">
              <w:rPr>
                <w:rFonts w:ascii="Times New Roman" w:eastAsia="Times New Roman" w:hAnsi="Times New Roman" w:cs="Times New Roman"/>
                <w:color w:val="000000" w:themeColor="text1"/>
              </w:rPr>
              <w:t>Viziunea strategică a programului operațional este crearea în România a unui ecosistem care potențează competitivitatea societății în contextul schimbărilor tehnologice, plecând de la nevoile de dezvoltare identificate prin Strategia Națională și cele 8 Strategii Regionale de Specializare Inteligentă și concentrarea eforturilor pentru atingerea potențialului tehnologiilor digitale pentru a crea noi oportunități de dezvoltare atât pentru sistemul public, cât și pentru mediul de afaceri</w:t>
            </w:r>
            <w:r w:rsidR="000E2B7E">
              <w:rPr>
                <w:rFonts w:ascii="Times New Roman" w:eastAsia="Times New Roman" w:hAnsi="Times New Roman" w:cs="Times New Roman"/>
                <w:color w:val="000000" w:themeColor="text1"/>
              </w:rPr>
              <w:t>.</w:t>
            </w:r>
          </w:p>
          <w:p w14:paraId="4B10A5EC" w14:textId="77777777" w:rsidR="000747A9" w:rsidRPr="00E43A45" w:rsidRDefault="000747A9" w:rsidP="00E43A45">
            <w:pPr>
              <w:pStyle w:val="ListParagraph"/>
              <w:spacing w:after="120" w:line="360" w:lineRule="auto"/>
              <w:ind w:left="0"/>
              <w:jc w:val="both"/>
              <w:rPr>
                <w:rFonts w:ascii="Times New Roman" w:eastAsia="Times New Roman" w:hAnsi="Times New Roman" w:cs="Times New Roman"/>
                <w:color w:val="000000" w:themeColor="text1"/>
              </w:rPr>
            </w:pPr>
          </w:p>
          <w:p w14:paraId="58BA2AE5" w14:textId="77777777" w:rsidR="000747A9" w:rsidRPr="00E43A45" w:rsidRDefault="000747A9" w:rsidP="00E43A45">
            <w:pPr>
              <w:pStyle w:val="ListParagraph"/>
              <w:spacing w:after="120" w:line="360" w:lineRule="auto"/>
              <w:ind w:left="0"/>
              <w:jc w:val="both"/>
              <w:rPr>
                <w:rFonts w:ascii="Times New Roman" w:eastAsia="Times New Roman" w:hAnsi="Times New Roman" w:cs="Times New Roman"/>
                <w:color w:val="000000" w:themeColor="text1"/>
              </w:rPr>
            </w:pPr>
            <w:r w:rsidRPr="00E43A45">
              <w:rPr>
                <w:rFonts w:ascii="Times New Roman" w:eastAsia="Times New Roman" w:hAnsi="Times New Roman" w:cs="Times New Roman"/>
                <w:color w:val="000000" w:themeColor="text1"/>
              </w:rPr>
              <w:t>Programul ia în considerare prioritățile europene și are rolul cheie al inovației și cercetării în tranziția către o economie bazată pe cunoaștere, competitivă și sustenabilă, cu efecte de conservare, protejare și îmbunătățire a calității mediului, precum și contribuția țării noastre la îndeplinirea obiectivelor la nivel european.</w:t>
            </w:r>
          </w:p>
          <w:p w14:paraId="790C7D10" w14:textId="77777777" w:rsidR="000747A9" w:rsidRPr="00E43A45" w:rsidRDefault="000747A9" w:rsidP="00E43A45">
            <w:pPr>
              <w:spacing w:after="120" w:line="360" w:lineRule="auto"/>
              <w:jc w:val="both"/>
              <w:rPr>
                <w:color w:val="000000" w:themeColor="text1"/>
              </w:rPr>
            </w:pPr>
            <w:r w:rsidRPr="00E43A45">
              <w:rPr>
                <w:color w:val="000000" w:themeColor="text1"/>
              </w:rPr>
              <w:lastRenderedPageBreak/>
              <w:t>Priorități de investiții care se vor finanța în cadrul programului operațional (categorii de investiții cu explicitarea clară a acestora) sunt:</w:t>
            </w:r>
          </w:p>
          <w:p w14:paraId="6F26C1E6" w14:textId="31788FF8" w:rsidR="000747A9" w:rsidRPr="00E43A45" w:rsidRDefault="000747A9" w:rsidP="00E43A45">
            <w:pPr>
              <w:spacing w:after="120" w:line="360" w:lineRule="auto"/>
              <w:jc w:val="both"/>
              <w:rPr>
                <w:color w:val="000000" w:themeColor="text1"/>
              </w:rPr>
            </w:pPr>
            <w:r w:rsidRPr="00E43A45">
              <w:rPr>
                <w:color w:val="000000" w:themeColor="text1"/>
              </w:rPr>
              <w:t xml:space="preserve">1. Integrarea ecosistemului național CDI în Spațiul de Cercetare European </w:t>
            </w:r>
            <w:r w:rsidR="00721F71">
              <w:rPr>
                <w:color w:val="000000" w:themeColor="text1"/>
              </w:rPr>
              <w:t>ș</w:t>
            </w:r>
            <w:r w:rsidRPr="00E43A45">
              <w:rPr>
                <w:color w:val="000000" w:themeColor="text1"/>
              </w:rPr>
              <w:t xml:space="preserve">i </w:t>
            </w:r>
            <w:r w:rsidR="00F13DB5">
              <w:rPr>
                <w:color w:val="000000" w:themeColor="text1"/>
              </w:rPr>
              <w:t>I</w:t>
            </w:r>
            <w:r w:rsidRPr="00E43A45">
              <w:rPr>
                <w:color w:val="000000" w:themeColor="text1"/>
              </w:rPr>
              <w:t>nterna</w:t>
            </w:r>
            <w:r w:rsidR="00721F71">
              <w:rPr>
                <w:color w:val="000000" w:themeColor="text1"/>
              </w:rPr>
              <w:t>ț</w:t>
            </w:r>
            <w:r w:rsidRPr="00E43A45">
              <w:rPr>
                <w:color w:val="000000" w:themeColor="text1"/>
              </w:rPr>
              <w:t>ional</w:t>
            </w:r>
          </w:p>
          <w:p w14:paraId="3CE994C2" w14:textId="77777777" w:rsidR="000747A9" w:rsidRPr="00E43A45" w:rsidRDefault="000747A9" w:rsidP="00E43A45">
            <w:pPr>
              <w:spacing w:after="120" w:line="360" w:lineRule="auto"/>
              <w:jc w:val="both"/>
              <w:rPr>
                <w:color w:val="000000" w:themeColor="text1"/>
              </w:rPr>
            </w:pPr>
            <w:r w:rsidRPr="00E43A45">
              <w:rPr>
                <w:color w:val="000000" w:themeColor="text1"/>
              </w:rPr>
              <w:t>2. Crearea si promovarea unui sistem atractiv de inovare în economie pentru toate tipurile de inovare</w:t>
            </w:r>
          </w:p>
          <w:p w14:paraId="67FCA839" w14:textId="417FD08E" w:rsidR="000747A9" w:rsidRPr="00E43A45" w:rsidRDefault="000747A9" w:rsidP="00E43A45">
            <w:pPr>
              <w:spacing w:after="120" w:line="360" w:lineRule="auto"/>
              <w:jc w:val="both"/>
              <w:rPr>
                <w:color w:val="000000" w:themeColor="text1"/>
              </w:rPr>
            </w:pPr>
            <w:r w:rsidRPr="00E43A45">
              <w:rPr>
                <w:color w:val="000000" w:themeColor="text1"/>
              </w:rPr>
              <w:t>3. Dezvoltarea capacită</w:t>
            </w:r>
            <w:r w:rsidR="00721F71">
              <w:rPr>
                <w:color w:val="000000" w:themeColor="text1"/>
              </w:rPr>
              <w:t>ț</w:t>
            </w:r>
            <w:r w:rsidRPr="00E43A45">
              <w:rPr>
                <w:color w:val="000000" w:themeColor="text1"/>
              </w:rPr>
              <w:t>ii CDI a institutelor de învă</w:t>
            </w:r>
            <w:r w:rsidR="00721F71">
              <w:rPr>
                <w:color w:val="000000" w:themeColor="text1"/>
              </w:rPr>
              <w:t>ț</w:t>
            </w:r>
            <w:r w:rsidRPr="00E43A45">
              <w:rPr>
                <w:color w:val="000000" w:themeColor="text1"/>
              </w:rPr>
              <w:t>ământ superior</w:t>
            </w:r>
          </w:p>
          <w:p w14:paraId="62CE7310" w14:textId="005F3645" w:rsidR="000747A9" w:rsidRPr="00E43A45" w:rsidRDefault="000747A9" w:rsidP="00E43A45">
            <w:pPr>
              <w:spacing w:after="120" w:line="360" w:lineRule="auto"/>
              <w:jc w:val="both"/>
              <w:rPr>
                <w:color w:val="000000" w:themeColor="text1"/>
              </w:rPr>
            </w:pPr>
            <w:r w:rsidRPr="00E43A45">
              <w:rPr>
                <w:color w:val="000000" w:themeColor="text1"/>
              </w:rPr>
              <w:t>4. Dezvoltarea capacită</w:t>
            </w:r>
            <w:r w:rsidR="00721F71">
              <w:rPr>
                <w:color w:val="000000" w:themeColor="text1"/>
              </w:rPr>
              <w:t>ț</w:t>
            </w:r>
            <w:r w:rsidRPr="00E43A45">
              <w:rPr>
                <w:color w:val="000000" w:themeColor="text1"/>
              </w:rPr>
              <w:t xml:space="preserve">ii CDI a INCD-urilor/ICAR-urilor </w:t>
            </w:r>
          </w:p>
          <w:p w14:paraId="25211D48" w14:textId="3CEF35EE" w:rsidR="000747A9" w:rsidRPr="00E43A45" w:rsidRDefault="000747A9" w:rsidP="00E43A45">
            <w:pPr>
              <w:spacing w:after="120" w:line="360" w:lineRule="auto"/>
              <w:jc w:val="both"/>
              <w:rPr>
                <w:color w:val="000000" w:themeColor="text1"/>
              </w:rPr>
            </w:pPr>
            <w:r w:rsidRPr="00E43A45">
              <w:rPr>
                <w:color w:val="000000" w:themeColor="text1"/>
              </w:rPr>
              <w:t>5. Dezvoltarea capacită</w:t>
            </w:r>
            <w:r w:rsidR="00721F71">
              <w:rPr>
                <w:color w:val="000000" w:themeColor="text1"/>
              </w:rPr>
              <w:t>ț</w:t>
            </w:r>
            <w:r w:rsidRPr="00E43A45">
              <w:rPr>
                <w:color w:val="000000" w:themeColor="text1"/>
              </w:rPr>
              <w:t>ii CDI a întreprinderilor mari</w:t>
            </w:r>
          </w:p>
          <w:p w14:paraId="026D1F4A" w14:textId="77777777" w:rsidR="000747A9" w:rsidRPr="00E43A45" w:rsidRDefault="000747A9" w:rsidP="00E43A45">
            <w:pPr>
              <w:spacing w:after="120" w:line="360" w:lineRule="auto"/>
              <w:jc w:val="both"/>
              <w:rPr>
                <w:color w:val="000000" w:themeColor="text1"/>
              </w:rPr>
            </w:pPr>
            <w:r w:rsidRPr="00E43A45">
              <w:rPr>
                <w:color w:val="000000" w:themeColor="text1"/>
              </w:rPr>
              <w:t>6. Dezvoltarea de mari infrastructuri CDI, inclusiv transfer tehnologic</w:t>
            </w:r>
          </w:p>
          <w:p w14:paraId="2F55FBFA" w14:textId="77777777" w:rsidR="000747A9" w:rsidRPr="00E43A45" w:rsidRDefault="000747A9" w:rsidP="00E43A45">
            <w:pPr>
              <w:spacing w:after="120" w:line="360" w:lineRule="auto"/>
              <w:jc w:val="both"/>
              <w:rPr>
                <w:color w:val="000000" w:themeColor="text1"/>
              </w:rPr>
            </w:pPr>
            <w:r w:rsidRPr="00E43A45">
              <w:rPr>
                <w:color w:val="000000" w:themeColor="text1"/>
              </w:rPr>
              <w:t xml:space="preserve">7. Digitalizarea în educație </w:t>
            </w:r>
          </w:p>
          <w:p w14:paraId="10B0721A" w14:textId="77777777" w:rsidR="000747A9" w:rsidRPr="00E43A45" w:rsidRDefault="000747A9" w:rsidP="00E43A45">
            <w:pPr>
              <w:spacing w:after="120" w:line="360" w:lineRule="auto"/>
              <w:jc w:val="both"/>
              <w:rPr>
                <w:color w:val="000000" w:themeColor="text1"/>
              </w:rPr>
            </w:pPr>
            <w:r w:rsidRPr="00E43A45">
              <w:rPr>
                <w:color w:val="000000" w:themeColor="text1"/>
              </w:rPr>
              <w:t>8. Digitalizarea în cultură</w:t>
            </w:r>
          </w:p>
          <w:p w14:paraId="5C16167A" w14:textId="77777777" w:rsidR="000747A9" w:rsidRPr="00E43A45" w:rsidRDefault="000747A9" w:rsidP="00E43A45">
            <w:pPr>
              <w:spacing w:after="120" w:line="360" w:lineRule="auto"/>
              <w:jc w:val="both"/>
              <w:rPr>
                <w:color w:val="000000" w:themeColor="text1"/>
              </w:rPr>
            </w:pPr>
            <w:r w:rsidRPr="00E43A45">
              <w:rPr>
                <w:color w:val="000000" w:themeColor="text1"/>
              </w:rPr>
              <w:t xml:space="preserve">9. Digitalizarea în administrația publică centrala </w:t>
            </w:r>
          </w:p>
          <w:p w14:paraId="566927A7" w14:textId="77777777" w:rsidR="000747A9" w:rsidRPr="00E43A45" w:rsidRDefault="000747A9" w:rsidP="00E43A45">
            <w:pPr>
              <w:spacing w:after="120" w:line="360" w:lineRule="auto"/>
              <w:jc w:val="both"/>
              <w:rPr>
                <w:color w:val="000000" w:themeColor="text1"/>
              </w:rPr>
            </w:pPr>
            <w:r w:rsidRPr="00E43A45">
              <w:rPr>
                <w:color w:val="000000" w:themeColor="text1"/>
              </w:rPr>
              <w:t>10. Stimularea accesului la finanțare al IMM-urilor prin utilizarea Instrumentelor Financiare</w:t>
            </w:r>
          </w:p>
          <w:p w14:paraId="1B2309A3" w14:textId="77777777" w:rsidR="000747A9" w:rsidRPr="00E43A45" w:rsidRDefault="000747A9" w:rsidP="00E43A45">
            <w:pPr>
              <w:spacing w:after="120" w:line="360" w:lineRule="auto"/>
              <w:jc w:val="both"/>
              <w:rPr>
                <w:color w:val="000000" w:themeColor="text1"/>
              </w:rPr>
            </w:pPr>
            <w:r w:rsidRPr="00E43A45">
              <w:rPr>
                <w:color w:val="000000" w:themeColor="text1"/>
              </w:rPr>
              <w:t xml:space="preserve">În cadrul programului se for finanța categorii de proiecte semnificative pentru prioritățile mai sus menționate. Fonduri europene sunt alocate pentru dezvoltarea infrastructurii de cercetare-dezvoltare, pentru consolidarea parteneriatelor între mediul academic și de cercetare și industrie, precum și pentru creșterea participării românești în proiecte europene și internaționale. Totodată, este propusă dezvoltarea unor mecanisme suport pentru facilitarea participării entităților CDI din România la rețele, consorții în vederea realizării de proiecte europene / internaționale în special în domeniile de mare viitor. Sunt avute în vedere intervenții la nivelul dezvoltării facilităților pentru cercetare și creșterea utilizării acestora, în domenii relevante, conectate cu piața și cu impact economic direct. Abordările inovative în cercetare pe teme de interes național, în domenii precum tehnologii avansate și resurse naturale, pot fi implementate prin dezvoltarea unor proiecte strategice. Vor fi susținute întreprinderile inovatoare și creative, o componentă esențială a acestor acțiuni va consta în concentrarea eforturilor asupra proceselor în zona transferului tehnologic vizând, printre altele, adaptarea la schimbările climatice, reducerea emisiilor și economia circulară. Datorită expertizei deținute, universitățile vor juca un rol important în dezvoltarea facilităților pentru cercetare, formare și educație, urmând a servi ca pepinieră de tineri cercetători, antreprenori și inovatori, și vor contribui la dezvoltarea proiectelor de cercetare la nivel regional și național. Totodată, INCD-urile/ICAR-urile vor fi sprijinite să ducă în piață rezultatele cercetării în domeniile de specializare inteligentă, contribuind astfel la crearea unui mediu favorabil dezvoltării de soluții, idei și capacității de inovare în România. La nivelul RO vor fi sprijinite inițiative fanion care să contribuie la transpunerea în </w:t>
            </w:r>
            <w:r w:rsidRPr="00E43A45">
              <w:rPr>
                <w:color w:val="000000" w:themeColor="text1"/>
              </w:rPr>
              <w:lastRenderedPageBreak/>
              <w:t>piață a rezultatelor cercetării în domenii de interes național luând în considerare de exemplu potențialul energiei hidrogenului sau să cupleze RO la efortul internațional în domenii cum ar fi nano-tehnologiile sau inteligența artificială.</w:t>
            </w:r>
          </w:p>
          <w:p w14:paraId="2A356F22" w14:textId="77777777" w:rsidR="000747A9" w:rsidRPr="00E43A45" w:rsidRDefault="000747A9" w:rsidP="000747A9">
            <w:pPr>
              <w:spacing w:after="120"/>
              <w:jc w:val="both"/>
              <w:rPr>
                <w:color w:val="000000" w:themeColor="text1"/>
              </w:rPr>
            </w:pPr>
            <w:r w:rsidRPr="00E43A45">
              <w:rPr>
                <w:color w:val="000000" w:themeColor="text1"/>
              </w:rPr>
              <w:t>Ca Indicatori de rezultat ai programului PCIDIF enumerăm:</w:t>
            </w:r>
          </w:p>
          <w:p w14:paraId="5EF538AD" w14:textId="77777777" w:rsidR="000747A9" w:rsidRPr="00E43A45" w:rsidRDefault="000747A9" w:rsidP="00B956B6">
            <w:pPr>
              <w:pStyle w:val="ListParagraph"/>
              <w:numPr>
                <w:ilvl w:val="0"/>
                <w:numId w:val="38"/>
              </w:numPr>
              <w:spacing w:after="120" w:line="360" w:lineRule="auto"/>
              <w:jc w:val="both"/>
              <w:rPr>
                <w:rFonts w:ascii="Times New Roman" w:eastAsia="Times New Roman" w:hAnsi="Times New Roman" w:cs="Times New Roman"/>
                <w:color w:val="000000" w:themeColor="text1"/>
              </w:rPr>
            </w:pPr>
            <w:r w:rsidRPr="00E43A45">
              <w:rPr>
                <w:rFonts w:ascii="Times New Roman" w:eastAsia="Times New Roman" w:hAnsi="Times New Roman" w:cs="Times New Roman"/>
                <w:color w:val="000000" w:themeColor="text1"/>
              </w:rPr>
              <w:t>Investiții private care completează sprijinul public (din care: granturi, instrumente financiare)/EUR</w:t>
            </w:r>
          </w:p>
          <w:p w14:paraId="008C3013" w14:textId="77777777" w:rsidR="000747A9" w:rsidRPr="00E43A45" w:rsidRDefault="000747A9" w:rsidP="00B956B6">
            <w:pPr>
              <w:pStyle w:val="ListParagraph"/>
              <w:numPr>
                <w:ilvl w:val="0"/>
                <w:numId w:val="38"/>
              </w:numPr>
              <w:spacing w:after="120" w:line="360" w:lineRule="auto"/>
              <w:jc w:val="both"/>
              <w:rPr>
                <w:rFonts w:ascii="Times New Roman" w:eastAsia="Times New Roman" w:hAnsi="Times New Roman" w:cs="Times New Roman"/>
                <w:color w:val="000000" w:themeColor="text1"/>
              </w:rPr>
            </w:pPr>
            <w:r w:rsidRPr="00E43A45">
              <w:rPr>
                <w:rFonts w:ascii="Times New Roman" w:eastAsia="Times New Roman" w:hAnsi="Times New Roman" w:cs="Times New Roman"/>
                <w:color w:val="000000" w:themeColor="text1"/>
              </w:rPr>
              <w:t xml:space="preserve">IMM-uri care introduc inovații în materie de produse sau procese/întreprinderi Cereri de brevet depuse/ Cereri de brevet </w:t>
            </w:r>
          </w:p>
          <w:p w14:paraId="1D1CF99C" w14:textId="77777777" w:rsidR="000747A9" w:rsidRPr="00E43A45" w:rsidRDefault="000747A9" w:rsidP="00B956B6">
            <w:pPr>
              <w:pStyle w:val="ListParagraph"/>
              <w:numPr>
                <w:ilvl w:val="0"/>
                <w:numId w:val="38"/>
              </w:numPr>
              <w:spacing w:after="120" w:line="360" w:lineRule="auto"/>
              <w:jc w:val="both"/>
              <w:rPr>
                <w:rFonts w:ascii="Times New Roman" w:eastAsia="Times New Roman" w:hAnsi="Times New Roman" w:cs="Times New Roman"/>
                <w:color w:val="000000" w:themeColor="text1"/>
              </w:rPr>
            </w:pPr>
            <w:r w:rsidRPr="00E43A45">
              <w:rPr>
                <w:rFonts w:ascii="Times New Roman" w:eastAsia="Times New Roman" w:hAnsi="Times New Roman" w:cs="Times New Roman"/>
                <w:color w:val="000000" w:themeColor="text1"/>
              </w:rPr>
              <w:t xml:space="preserve">Mărci comerciale și aplicații de proiectare/ Mărci comerciale și aplicații de proiectare </w:t>
            </w:r>
          </w:p>
          <w:p w14:paraId="7BA08BB1" w14:textId="77777777" w:rsidR="000747A9" w:rsidRPr="00E43A45" w:rsidRDefault="000747A9" w:rsidP="00B956B6">
            <w:pPr>
              <w:pStyle w:val="ListParagraph"/>
              <w:numPr>
                <w:ilvl w:val="0"/>
                <w:numId w:val="38"/>
              </w:numPr>
              <w:spacing w:after="120" w:line="360" w:lineRule="auto"/>
              <w:jc w:val="both"/>
              <w:rPr>
                <w:rFonts w:ascii="Times New Roman" w:eastAsia="Times New Roman" w:hAnsi="Times New Roman" w:cs="Times New Roman"/>
                <w:color w:val="000000" w:themeColor="text1"/>
              </w:rPr>
            </w:pPr>
            <w:r w:rsidRPr="00E43A45">
              <w:rPr>
                <w:rFonts w:ascii="Times New Roman" w:eastAsia="Times New Roman" w:hAnsi="Times New Roman" w:cs="Times New Roman"/>
                <w:color w:val="000000" w:themeColor="text1"/>
              </w:rPr>
              <w:t xml:space="preserve">Utilizatori de noi servicii și aplicații digitale publice/utilizatori anuali </w:t>
            </w:r>
          </w:p>
          <w:p w14:paraId="591C0F94" w14:textId="77777777" w:rsidR="000747A9" w:rsidRPr="00E43A45" w:rsidRDefault="000747A9" w:rsidP="00B956B6">
            <w:pPr>
              <w:pStyle w:val="ListParagraph"/>
              <w:numPr>
                <w:ilvl w:val="0"/>
                <w:numId w:val="38"/>
              </w:numPr>
              <w:spacing w:after="120" w:line="360" w:lineRule="auto"/>
              <w:jc w:val="both"/>
              <w:rPr>
                <w:rFonts w:ascii="Times New Roman" w:eastAsia="Times New Roman" w:hAnsi="Times New Roman" w:cs="Times New Roman"/>
                <w:color w:val="000000" w:themeColor="text1"/>
              </w:rPr>
            </w:pPr>
            <w:r w:rsidRPr="00E43A45">
              <w:rPr>
                <w:rFonts w:ascii="Times New Roman" w:eastAsia="Times New Roman" w:hAnsi="Times New Roman" w:cs="Times New Roman"/>
                <w:color w:val="000000" w:themeColor="text1"/>
              </w:rPr>
              <w:t xml:space="preserve">Personal al IMM-urilor care termina cursuri de formare alternative pentru creșterea cunoștințelor (KISA) (pe tipuri de competențe, tehnice, manageriale, antreprenoriale, etc)/Personal instruit </w:t>
            </w:r>
          </w:p>
          <w:p w14:paraId="248E962E" w14:textId="77777777" w:rsidR="000747A9" w:rsidRPr="00E43A45" w:rsidRDefault="000747A9" w:rsidP="00B956B6">
            <w:pPr>
              <w:pStyle w:val="ListParagraph"/>
              <w:numPr>
                <w:ilvl w:val="0"/>
                <w:numId w:val="38"/>
              </w:numPr>
              <w:spacing w:after="120" w:line="360" w:lineRule="auto"/>
              <w:jc w:val="both"/>
              <w:rPr>
                <w:rFonts w:ascii="Times New Roman" w:eastAsia="Times New Roman" w:hAnsi="Times New Roman" w:cs="Times New Roman"/>
                <w:color w:val="000000" w:themeColor="text1"/>
              </w:rPr>
            </w:pPr>
            <w:r w:rsidRPr="00E43A45">
              <w:rPr>
                <w:rFonts w:ascii="Times New Roman" w:eastAsia="Times New Roman" w:hAnsi="Times New Roman" w:cs="Times New Roman"/>
                <w:color w:val="000000" w:themeColor="text1"/>
              </w:rPr>
              <w:t>Locuri de muncă în cercetare create în entități sprijinite</w:t>
            </w:r>
          </w:p>
          <w:p w14:paraId="0D242E64" w14:textId="77777777" w:rsidR="000747A9" w:rsidRPr="00E43A45" w:rsidRDefault="000747A9" w:rsidP="000747A9">
            <w:pPr>
              <w:pStyle w:val="ListParagraph"/>
              <w:spacing w:after="120"/>
              <w:jc w:val="both"/>
              <w:rPr>
                <w:rFonts w:ascii="Times New Roman" w:eastAsia="Times New Roman" w:hAnsi="Times New Roman" w:cs="Times New Roman"/>
                <w:color w:val="000000" w:themeColor="text1"/>
              </w:rPr>
            </w:pPr>
          </w:p>
          <w:p w14:paraId="40147756" w14:textId="3FF4BDF5" w:rsidR="000747A9" w:rsidRPr="00E43A45" w:rsidRDefault="000747A9" w:rsidP="00E43A45">
            <w:pPr>
              <w:spacing w:after="120" w:line="360" w:lineRule="auto"/>
              <w:contextualSpacing/>
              <w:jc w:val="both"/>
              <w:rPr>
                <w:color w:val="000000" w:themeColor="text1"/>
              </w:rPr>
            </w:pPr>
            <w:r w:rsidRPr="00E43A45">
              <w:rPr>
                <w:color w:val="000000" w:themeColor="text1"/>
              </w:rPr>
              <w:t>Menționăm în mod deosebit introducerea in</w:t>
            </w:r>
            <w:r w:rsidR="00721F71">
              <w:rPr>
                <w:color w:val="000000" w:themeColor="text1"/>
              </w:rPr>
              <w:t>s</w:t>
            </w:r>
            <w:r w:rsidRPr="00E43A45">
              <w:rPr>
                <w:color w:val="000000" w:themeColor="text1"/>
              </w:rPr>
              <w:t>trumentelor financiare prin care se va facilita accesul întreprinderilor la finanțare, cum ar fi instrumente financiare de tip capital de risc combinat cu grant și instrumente financiare de tip creditare combinat cu grant.</w:t>
            </w:r>
          </w:p>
          <w:p w14:paraId="37C3C2F2" w14:textId="6C1A8A90" w:rsidR="00AA4B91" w:rsidRDefault="000747A9" w:rsidP="00AA4B91">
            <w:pPr>
              <w:spacing w:after="120" w:line="360" w:lineRule="auto"/>
              <w:jc w:val="both"/>
              <w:rPr>
                <w:b/>
                <w:i/>
                <w:color w:val="000000" w:themeColor="text1"/>
              </w:rPr>
            </w:pPr>
            <w:r w:rsidRPr="00E43A45">
              <w:rPr>
                <w:b/>
                <w:i/>
                <w:color w:val="000000" w:themeColor="text1"/>
              </w:rPr>
              <w:t xml:space="preserve">Concluzionând, gestionarea bugetelor alocate atât pentru perioadele de programare anterioare cât și pentru perioada 2021 – 2027, precum și activitățile care rezultă din cadrul de gestionare al acestora este imposibil de realizat în mod eficient la nivelul unei singure direcții generale. Astfel, pentru îndeplinirea obligațiilor statului membru gestionarea POSCCE 2007-2013 și POC 2014-2020 se va realiza de Direcția generală program operațional competitivitate și PCDIF 2021-2027 se va realiza de Direcția generala pentru dezvoltarea inovării și a societății digitalizate. </w:t>
            </w:r>
          </w:p>
          <w:p w14:paraId="2712E51E" w14:textId="486F948D" w:rsidR="000E2B7E" w:rsidRDefault="000E2B7E" w:rsidP="00AA4B91">
            <w:pPr>
              <w:spacing w:after="120" w:line="360" w:lineRule="auto"/>
              <w:jc w:val="both"/>
              <w:rPr>
                <w:color w:val="000000" w:themeColor="text1"/>
                <w:lang w:val="en-US"/>
              </w:rPr>
            </w:pPr>
            <w:r>
              <w:rPr>
                <w:color w:val="000000" w:themeColor="text1"/>
              </w:rPr>
              <w:t>Astfel, Direcția generală</w:t>
            </w:r>
            <w:r w:rsidRPr="000E2B7E">
              <w:rPr>
                <w:color w:val="000000" w:themeColor="text1"/>
              </w:rPr>
              <w:t xml:space="preserve"> pentru dezvoltarea inovării și a societății digitalizate</w:t>
            </w:r>
            <w:r>
              <w:rPr>
                <w:color w:val="000000" w:themeColor="text1"/>
              </w:rPr>
              <w:t xml:space="preserve"> va avea următoarea structură organizatorică</w:t>
            </w:r>
            <w:r>
              <w:rPr>
                <w:color w:val="000000" w:themeColor="text1"/>
                <w:lang w:val="en-US"/>
              </w:rPr>
              <w:t>:</w:t>
            </w:r>
          </w:p>
          <w:p w14:paraId="4227F33B" w14:textId="3ECB8DB2" w:rsidR="00147F0F" w:rsidRPr="005B340B" w:rsidRDefault="00147F0F" w:rsidP="00B956B6">
            <w:pPr>
              <w:pStyle w:val="ListParagraph"/>
              <w:numPr>
                <w:ilvl w:val="0"/>
                <w:numId w:val="38"/>
              </w:numPr>
              <w:spacing w:after="120" w:line="360" w:lineRule="auto"/>
              <w:jc w:val="both"/>
              <w:rPr>
                <w:color w:val="000000" w:themeColor="text1"/>
                <w:lang w:val="en-US"/>
              </w:rPr>
            </w:pPr>
            <w:r>
              <w:rPr>
                <w:color w:val="000000" w:themeColor="text1"/>
              </w:rPr>
              <w:t>Direcția gestionare program, evaluare și contractare proiecte cu: Serviciul gestionare program</w:t>
            </w:r>
            <w:r>
              <w:rPr>
                <w:color w:val="000000" w:themeColor="text1"/>
                <w:lang w:val="en-US"/>
              </w:rPr>
              <w:t xml:space="preserve">, </w:t>
            </w:r>
            <w:r w:rsidRPr="00721F71">
              <w:rPr>
                <w:color w:val="000000" w:themeColor="text1"/>
              </w:rPr>
              <w:t>Serviciul evaluare, selecție</w:t>
            </w:r>
            <w:r>
              <w:rPr>
                <w:color w:val="000000" w:themeColor="text1"/>
              </w:rPr>
              <w:t xml:space="preserve"> și contractare proiecte, Biroul evalu</w:t>
            </w:r>
            <w:r w:rsidR="00A83F68">
              <w:rPr>
                <w:color w:val="000000" w:themeColor="text1"/>
              </w:rPr>
              <w:t>are program, asistență tehnică și help-desk</w:t>
            </w:r>
          </w:p>
          <w:p w14:paraId="3F7D0C96" w14:textId="7DD6B401" w:rsidR="005B340B" w:rsidRPr="005B340B" w:rsidRDefault="005B340B" w:rsidP="00B956B6">
            <w:pPr>
              <w:pStyle w:val="ListParagraph"/>
              <w:numPr>
                <w:ilvl w:val="0"/>
                <w:numId w:val="38"/>
              </w:numPr>
              <w:spacing w:after="120" w:line="360" w:lineRule="auto"/>
              <w:jc w:val="both"/>
              <w:rPr>
                <w:color w:val="000000" w:themeColor="text1"/>
                <w:lang w:val="en-US"/>
              </w:rPr>
            </w:pPr>
            <w:r>
              <w:rPr>
                <w:color w:val="000000" w:themeColor="text1"/>
              </w:rPr>
              <w:t>Direcția monitorizare și autorizare proiecte cu: Serviciul monitorizare, Serviciul autorizare și Serviciul verificare achiziții</w:t>
            </w:r>
          </w:p>
          <w:p w14:paraId="45C4F4A5" w14:textId="77777777" w:rsidR="005B340B" w:rsidRPr="005B340B" w:rsidRDefault="005B340B" w:rsidP="00B956B6">
            <w:pPr>
              <w:pStyle w:val="ListParagraph"/>
              <w:numPr>
                <w:ilvl w:val="0"/>
                <w:numId w:val="38"/>
              </w:numPr>
              <w:spacing w:after="120" w:line="360" w:lineRule="auto"/>
              <w:jc w:val="both"/>
              <w:rPr>
                <w:color w:val="000000" w:themeColor="text1"/>
                <w:lang w:val="en-US"/>
              </w:rPr>
            </w:pPr>
            <w:r>
              <w:rPr>
                <w:color w:val="000000" w:themeColor="text1"/>
              </w:rPr>
              <w:t>Direcția plăți, contabilitate și recuperare creanțe cu: Biroul buget, plăți și declarații de cheltuieli, Biroul contabilitate și recuperare creanțe</w:t>
            </w:r>
          </w:p>
          <w:p w14:paraId="6A375707" w14:textId="77777777" w:rsidR="008474DA" w:rsidRPr="001B16A5" w:rsidRDefault="005B340B" w:rsidP="008474DA">
            <w:pPr>
              <w:pStyle w:val="ListParagraph"/>
              <w:numPr>
                <w:ilvl w:val="0"/>
                <w:numId w:val="38"/>
              </w:numPr>
              <w:spacing w:after="120" w:line="360" w:lineRule="auto"/>
              <w:jc w:val="both"/>
              <w:rPr>
                <w:color w:val="000000" w:themeColor="text1"/>
                <w:lang w:val="en-US"/>
              </w:rPr>
            </w:pPr>
            <w:r>
              <w:rPr>
                <w:color w:val="000000" w:themeColor="text1"/>
              </w:rPr>
              <w:lastRenderedPageBreak/>
              <w:t xml:space="preserve">Direcția nereguli, riscuri și monitorizare audit cu: Biroul nereguli, riscuri și monitorizare audit, Serviciul constatare nereguli </w:t>
            </w:r>
            <w:r w:rsidR="00B732AD">
              <w:rPr>
                <w:color w:val="000000" w:themeColor="text1"/>
              </w:rPr>
              <w:t xml:space="preserve">și </w:t>
            </w:r>
            <w:r w:rsidR="00B732AD" w:rsidRPr="00721F71">
              <w:rPr>
                <w:color w:val="000000" w:themeColor="text1"/>
              </w:rPr>
              <w:t>antifraudă</w:t>
            </w:r>
            <w:r w:rsidR="00FB1E86" w:rsidRPr="00721F71">
              <w:rPr>
                <w:color w:val="000000" w:themeColor="text1"/>
              </w:rPr>
              <w:t xml:space="preserve"> și </w:t>
            </w:r>
            <w:r w:rsidR="00B732AD" w:rsidRPr="00721F71">
              <w:rPr>
                <w:color w:val="000000" w:themeColor="text1"/>
              </w:rPr>
              <w:t xml:space="preserve"> Serviciul soluționare contestații</w:t>
            </w:r>
          </w:p>
          <w:p w14:paraId="368666DE" w14:textId="77777777" w:rsidR="001B16A5" w:rsidRPr="008474DA" w:rsidRDefault="001B16A5" w:rsidP="001B16A5">
            <w:pPr>
              <w:pStyle w:val="ListParagraph"/>
              <w:spacing w:after="120" w:line="360" w:lineRule="auto"/>
              <w:jc w:val="both"/>
              <w:rPr>
                <w:color w:val="000000" w:themeColor="text1"/>
                <w:lang w:val="en-US"/>
              </w:rPr>
            </w:pPr>
          </w:p>
          <w:p w14:paraId="0F5FEBBA" w14:textId="5D252D63" w:rsidR="001B16A5" w:rsidRDefault="001B16A5" w:rsidP="001B16A5">
            <w:pPr>
              <w:pStyle w:val="ListParagraph"/>
              <w:spacing w:before="120" w:after="120" w:line="360" w:lineRule="auto"/>
              <w:ind w:left="0"/>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2A6ABB">
              <w:rPr>
                <w:rFonts w:ascii="Times New Roman" w:eastAsia="Times New Roman" w:hAnsi="Times New Roman" w:cs="Times New Roman"/>
                <w:b/>
                <w:color w:val="000000" w:themeColor="text1"/>
              </w:rPr>
              <w:t>redimensionarea Direcției generale programe europene capital uman</w:t>
            </w:r>
            <w:r>
              <w:rPr>
                <w:rFonts w:ascii="Times New Roman" w:eastAsia="Times New Roman" w:hAnsi="Times New Roman" w:cs="Times New Roman"/>
                <w:color w:val="000000" w:themeColor="text1"/>
              </w:rPr>
              <w:t xml:space="preserve"> de la 178 posturi la 184 posturi, </w:t>
            </w:r>
            <w:r w:rsidRPr="00BC311E">
              <w:rPr>
                <w:rFonts w:ascii="Times New Roman" w:eastAsia="Times New Roman" w:hAnsi="Times New Roman" w:cs="Times New Roman"/>
                <w:color w:val="000000" w:themeColor="text1"/>
              </w:rPr>
              <w:t>având în vedere problematica vastă gestionată și gradul de încărcare a personalului existent</w:t>
            </w:r>
          </w:p>
          <w:p w14:paraId="63C16ADF" w14:textId="77777777" w:rsidR="002A6ABB" w:rsidRDefault="002A6ABB" w:rsidP="001B16A5">
            <w:pPr>
              <w:pStyle w:val="ListParagraph"/>
              <w:spacing w:before="120" w:after="120" w:line="360" w:lineRule="auto"/>
              <w:ind w:left="0"/>
              <w:jc w:val="both"/>
              <w:rPr>
                <w:rFonts w:ascii="Times New Roman" w:eastAsia="Times New Roman" w:hAnsi="Times New Roman" w:cs="Times New Roman"/>
                <w:color w:val="000000" w:themeColor="text1"/>
              </w:rPr>
            </w:pPr>
          </w:p>
          <w:p w14:paraId="693A9EC2" w14:textId="77777777" w:rsidR="002A6ABB" w:rsidRDefault="00EF7011" w:rsidP="002A6ABB">
            <w:pPr>
              <w:pStyle w:val="ListParagraph"/>
              <w:spacing w:before="120" w:after="120" w:line="360" w:lineRule="auto"/>
              <w:ind w:left="0"/>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2A6ABB">
              <w:rPr>
                <w:rFonts w:ascii="Times New Roman" w:eastAsia="Times New Roman" w:hAnsi="Times New Roman" w:cs="Times New Roman"/>
                <w:b/>
                <w:color w:val="000000" w:themeColor="text1"/>
              </w:rPr>
              <w:t>redimensionarea Direcției generale program dezvoltare durabilă</w:t>
            </w:r>
            <w:r>
              <w:rPr>
                <w:rFonts w:ascii="Times New Roman" w:eastAsia="Times New Roman" w:hAnsi="Times New Roman" w:cs="Times New Roman"/>
                <w:color w:val="000000" w:themeColor="text1"/>
              </w:rPr>
              <w:t xml:space="preserve"> de la 400 posturi la 407 posturi, având în vedere atribuțiile complexe și gradul de încărcare al personalului încadrat</w:t>
            </w:r>
          </w:p>
          <w:p w14:paraId="4149B7F2" w14:textId="77777777" w:rsidR="002A6ABB" w:rsidRDefault="002A6ABB" w:rsidP="002A6ABB">
            <w:pPr>
              <w:pStyle w:val="ListParagraph"/>
              <w:spacing w:before="120" w:after="120" w:line="360" w:lineRule="auto"/>
              <w:ind w:left="0"/>
              <w:jc w:val="both"/>
              <w:rPr>
                <w:rFonts w:ascii="Times New Roman" w:eastAsia="Times New Roman" w:hAnsi="Times New Roman" w:cs="Times New Roman"/>
                <w:color w:val="000000" w:themeColor="text1"/>
              </w:rPr>
            </w:pPr>
          </w:p>
          <w:p w14:paraId="42A5B0B7" w14:textId="66DFE019" w:rsidR="007E3C6D" w:rsidRDefault="002A6ABB" w:rsidP="007E3C6D">
            <w:pPr>
              <w:pStyle w:val="ListParagraph"/>
              <w:spacing w:before="120" w:after="120" w:line="360" w:lineRule="auto"/>
              <w:ind w:left="0"/>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00990B18" w:rsidRPr="004B5EB3">
              <w:rPr>
                <w:rFonts w:ascii="Times New Roman" w:eastAsia="Times New Roman" w:hAnsi="Times New Roman" w:cs="Times New Roman"/>
                <w:b/>
                <w:color w:val="000000" w:themeColor="text1"/>
              </w:rPr>
              <w:t>redimensionarea Compartimentului audit pub</w:t>
            </w:r>
            <w:r w:rsidR="003316B4" w:rsidRPr="004B5EB3">
              <w:rPr>
                <w:rFonts w:ascii="Times New Roman" w:eastAsia="Times New Roman" w:hAnsi="Times New Roman" w:cs="Times New Roman"/>
                <w:b/>
                <w:color w:val="000000" w:themeColor="text1"/>
              </w:rPr>
              <w:t xml:space="preserve">lic </w:t>
            </w:r>
            <w:r w:rsidR="00592F72" w:rsidRPr="004B5EB3">
              <w:rPr>
                <w:rFonts w:ascii="Times New Roman" w:eastAsia="Times New Roman" w:hAnsi="Times New Roman" w:cs="Times New Roman"/>
                <w:b/>
                <w:color w:val="000000" w:themeColor="text1"/>
              </w:rPr>
              <w:t>intern</w:t>
            </w:r>
            <w:r>
              <w:rPr>
                <w:rFonts w:ascii="Times New Roman" w:eastAsia="Times New Roman" w:hAnsi="Times New Roman" w:cs="Times New Roman"/>
                <w:color w:val="000000" w:themeColor="text1"/>
              </w:rPr>
              <w:t xml:space="preserve"> de la 6 posturi la 7</w:t>
            </w:r>
            <w:r w:rsidR="00990B18" w:rsidRPr="00E84287">
              <w:rPr>
                <w:rFonts w:ascii="Times New Roman" w:eastAsia="Times New Roman" w:hAnsi="Times New Roman" w:cs="Times New Roman"/>
                <w:color w:val="000000" w:themeColor="text1"/>
              </w:rPr>
              <w:t xml:space="preserve"> posturi</w:t>
            </w:r>
            <w:r w:rsidR="00BC561D" w:rsidRPr="00E84287">
              <w:rPr>
                <w:rFonts w:ascii="Times New Roman" w:eastAsia="Times New Roman" w:hAnsi="Times New Roman" w:cs="Times New Roman"/>
                <w:color w:val="000000" w:themeColor="text1"/>
              </w:rPr>
              <w:t>, având în vedere numărul de programe operaționale pe noua perioadă de programare gestionate la nivelul Ministerului Investițiilor și Proiectelor Europene care generează marirea sferei auditabile și implicit scăderea gradului de acoperire a acesteia</w:t>
            </w:r>
          </w:p>
          <w:p w14:paraId="35A50D74" w14:textId="77777777" w:rsidR="007E3C6D" w:rsidRDefault="007E3C6D" w:rsidP="007E3C6D">
            <w:pPr>
              <w:pStyle w:val="ListParagraph"/>
              <w:spacing w:before="120" w:after="120" w:line="360" w:lineRule="auto"/>
              <w:ind w:left="0"/>
              <w:jc w:val="both"/>
              <w:rPr>
                <w:rFonts w:ascii="Times New Roman" w:eastAsia="Times New Roman" w:hAnsi="Times New Roman" w:cs="Times New Roman"/>
                <w:color w:val="000000" w:themeColor="text1"/>
              </w:rPr>
            </w:pPr>
          </w:p>
          <w:p w14:paraId="1801E3F9" w14:textId="0C7B969F" w:rsidR="007E3C6D" w:rsidRDefault="007E3C6D" w:rsidP="007E3C6D">
            <w:pPr>
              <w:pStyle w:val="ListParagraph"/>
              <w:spacing w:before="120" w:after="120" w:line="360" w:lineRule="auto"/>
              <w:ind w:left="0"/>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4B5EB3">
              <w:rPr>
                <w:rFonts w:ascii="Times New Roman" w:eastAsia="Times New Roman" w:hAnsi="Times New Roman" w:cs="Times New Roman"/>
                <w:b/>
                <w:color w:val="000000" w:themeColor="text1"/>
              </w:rPr>
              <w:t xml:space="preserve"> redimensionarea</w:t>
            </w:r>
            <w:r>
              <w:rPr>
                <w:rFonts w:ascii="Times New Roman" w:eastAsia="Times New Roman" w:hAnsi="Times New Roman" w:cs="Times New Roman"/>
                <w:b/>
                <w:color w:val="000000" w:themeColor="text1"/>
              </w:rPr>
              <w:t xml:space="preserve">/reorganizarea Biroului corp control și implementare strategie anticorupție </w:t>
            </w:r>
            <w:r w:rsidRPr="007E3C6D">
              <w:rPr>
                <w:rFonts w:ascii="Times New Roman" w:eastAsia="Times New Roman" w:hAnsi="Times New Roman" w:cs="Times New Roman"/>
                <w:color w:val="000000" w:themeColor="text1"/>
              </w:rPr>
              <w:t xml:space="preserve">de la 8 posturi la 10 posturi </w:t>
            </w:r>
            <w:r w:rsidR="00D500F9">
              <w:rPr>
                <w:rFonts w:ascii="Times New Roman" w:eastAsia="Times New Roman" w:hAnsi="Times New Roman" w:cs="Times New Roman"/>
                <w:color w:val="000000" w:themeColor="text1"/>
              </w:rPr>
              <w:t>și transformarea în Serviciul corp control și implementare strategie anticorupție, în vederea exercitării în condiții de eficiență și eficacitate a sarcinilor atribuite</w:t>
            </w:r>
          </w:p>
          <w:p w14:paraId="4E733EE8" w14:textId="77777777" w:rsidR="004C6425" w:rsidRDefault="004C6425" w:rsidP="007E3C6D">
            <w:pPr>
              <w:pStyle w:val="ListParagraph"/>
              <w:spacing w:before="120" w:after="120" w:line="360" w:lineRule="auto"/>
              <w:ind w:left="0"/>
              <w:jc w:val="both"/>
              <w:rPr>
                <w:rFonts w:ascii="Times New Roman" w:eastAsia="Times New Roman" w:hAnsi="Times New Roman" w:cs="Times New Roman"/>
                <w:color w:val="000000" w:themeColor="text1"/>
              </w:rPr>
            </w:pPr>
          </w:p>
          <w:p w14:paraId="1FB916B1" w14:textId="4618FCB5" w:rsidR="004C6425" w:rsidRDefault="004C6425" w:rsidP="007E3C6D">
            <w:pPr>
              <w:pStyle w:val="ListParagraph"/>
              <w:spacing w:before="120" w:after="120" w:line="360" w:lineRule="auto"/>
              <w:ind w:left="0"/>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-r</w:t>
            </w:r>
            <w:r w:rsidRPr="004B5EB3">
              <w:rPr>
                <w:rFonts w:ascii="Times New Roman" w:eastAsia="Times New Roman" w:hAnsi="Times New Roman" w:cs="Times New Roman"/>
                <w:b/>
                <w:color w:val="000000" w:themeColor="text1"/>
              </w:rPr>
              <w:t>edimensionarea</w:t>
            </w:r>
            <w:r>
              <w:rPr>
                <w:rFonts w:ascii="Times New Roman" w:eastAsia="Times New Roman" w:hAnsi="Times New Roman" w:cs="Times New Roman"/>
                <w:b/>
                <w:color w:val="000000" w:themeColor="text1"/>
              </w:rPr>
              <w:t xml:space="preserve">/reorganizarea Direcției implementare POAD </w:t>
            </w:r>
            <w:r w:rsidRPr="004C6425">
              <w:rPr>
                <w:rFonts w:ascii="Times New Roman" w:eastAsia="Times New Roman" w:hAnsi="Times New Roman" w:cs="Times New Roman"/>
                <w:color w:val="000000" w:themeColor="text1"/>
              </w:rPr>
              <w:t>de la 26 posturi la 31 posturi</w:t>
            </w:r>
            <w:r>
              <w:rPr>
                <w:rFonts w:ascii="Times New Roman" w:eastAsia="Times New Roman" w:hAnsi="Times New Roman" w:cs="Times New Roman"/>
                <w:color w:val="000000" w:themeColor="text1"/>
              </w:rPr>
              <w:t xml:space="preserve"> și transformarea în Direcția generală implementare POAD, având in vedere </w:t>
            </w:r>
            <w:r w:rsidR="006E2424">
              <w:rPr>
                <w:rFonts w:ascii="Times New Roman" w:eastAsia="Times New Roman" w:hAnsi="Times New Roman" w:cs="Times New Roman"/>
                <w:color w:val="000000" w:themeColor="text1"/>
              </w:rPr>
              <w:t>rolul</w:t>
            </w:r>
            <w:r>
              <w:rPr>
                <w:rFonts w:ascii="Times New Roman" w:eastAsia="Times New Roman" w:hAnsi="Times New Roman" w:cs="Times New Roman"/>
                <w:color w:val="000000" w:themeColor="text1"/>
              </w:rPr>
              <w:t xml:space="preserve"> acestei structuri </w:t>
            </w:r>
            <w:r w:rsidR="006E2424">
              <w:rPr>
                <w:rFonts w:ascii="Times New Roman" w:eastAsia="Times New Roman" w:hAnsi="Times New Roman" w:cs="Times New Roman"/>
                <w:color w:val="000000" w:themeColor="text1"/>
              </w:rPr>
              <w:t xml:space="preserve">în </w:t>
            </w:r>
            <w:r w:rsidR="00257AF0" w:rsidRPr="00257AF0">
              <w:rPr>
                <w:rFonts w:ascii="Times New Roman" w:eastAsia="Times New Roman" w:hAnsi="Times New Roman" w:cs="Times New Roman"/>
                <w:color w:val="000000" w:themeColor="text1"/>
              </w:rPr>
              <w:t>ceea ce privește</w:t>
            </w:r>
            <w:r w:rsidR="006E2424" w:rsidRPr="00257AF0">
              <w:rPr>
                <w:rFonts w:ascii="Times New Roman" w:eastAsia="Times New Roman" w:hAnsi="Times New Roman" w:cs="Times New Roman"/>
                <w:color w:val="000000" w:themeColor="text1"/>
              </w:rPr>
              <w:t xml:space="preserve"> asistenț</w:t>
            </w:r>
            <w:r w:rsidR="00257AF0" w:rsidRPr="00257AF0">
              <w:rPr>
                <w:rFonts w:ascii="Times New Roman" w:eastAsia="Times New Roman" w:hAnsi="Times New Roman" w:cs="Times New Roman"/>
                <w:color w:val="000000" w:themeColor="text1"/>
              </w:rPr>
              <w:t>a</w:t>
            </w:r>
            <w:r w:rsidR="006E2424" w:rsidRPr="00257AF0">
              <w:rPr>
                <w:rFonts w:ascii="Times New Roman" w:eastAsia="Times New Roman" w:hAnsi="Times New Roman" w:cs="Times New Roman"/>
                <w:color w:val="000000" w:themeColor="text1"/>
              </w:rPr>
              <w:t xml:space="preserve"> materială </w:t>
            </w:r>
            <w:r w:rsidR="00257AF0" w:rsidRPr="00257AF0">
              <w:rPr>
                <w:rFonts w:ascii="Times New Roman" w:eastAsia="Times New Roman" w:hAnsi="Times New Roman" w:cs="Times New Roman"/>
                <w:color w:val="000000" w:themeColor="text1"/>
              </w:rPr>
              <w:t xml:space="preserve">a </w:t>
            </w:r>
            <w:r w:rsidR="006E2424" w:rsidRPr="00257AF0">
              <w:rPr>
                <w:rFonts w:ascii="Times New Roman" w:eastAsia="Times New Roman" w:hAnsi="Times New Roman" w:cs="Times New Roman"/>
                <w:color w:val="000000" w:themeColor="text1"/>
              </w:rPr>
              <w:t>celor mai sărace categorii ale populației</w:t>
            </w:r>
          </w:p>
          <w:p w14:paraId="31D812BF" w14:textId="77777777" w:rsidR="00722121" w:rsidRDefault="00722121" w:rsidP="007E3C6D">
            <w:pPr>
              <w:pStyle w:val="ListParagraph"/>
              <w:spacing w:before="120" w:after="120" w:line="360" w:lineRule="auto"/>
              <w:ind w:left="0"/>
              <w:jc w:val="both"/>
              <w:rPr>
                <w:rFonts w:ascii="Times New Roman" w:eastAsia="Times New Roman" w:hAnsi="Times New Roman" w:cs="Times New Roman"/>
                <w:color w:val="000000" w:themeColor="text1"/>
              </w:rPr>
            </w:pPr>
          </w:p>
          <w:p w14:paraId="4953F823" w14:textId="6D5514FC" w:rsidR="00722121" w:rsidRPr="007E3C6D" w:rsidRDefault="00722121" w:rsidP="007E3C6D">
            <w:pPr>
              <w:pStyle w:val="ListParagraph"/>
              <w:spacing w:before="120" w:after="120" w:line="360" w:lineRule="auto"/>
              <w:ind w:left="0"/>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4B5EB3">
              <w:rPr>
                <w:rFonts w:ascii="Times New Roman" w:eastAsia="Times New Roman" w:hAnsi="Times New Roman" w:cs="Times New Roman"/>
                <w:b/>
                <w:color w:val="000000" w:themeColor="text1"/>
              </w:rPr>
              <w:t xml:space="preserve"> redimensionarea</w:t>
            </w:r>
            <w:r>
              <w:rPr>
                <w:rFonts w:ascii="Times New Roman" w:eastAsia="Times New Roman" w:hAnsi="Times New Roman" w:cs="Times New Roman"/>
                <w:b/>
                <w:color w:val="000000" w:themeColor="text1"/>
              </w:rPr>
              <w:t xml:space="preserve"> Direcț</w:t>
            </w:r>
            <w:r w:rsidR="001F44D1">
              <w:rPr>
                <w:rFonts w:ascii="Times New Roman" w:eastAsia="Times New Roman" w:hAnsi="Times New Roman" w:cs="Times New Roman"/>
                <w:b/>
                <w:color w:val="000000" w:themeColor="text1"/>
              </w:rPr>
              <w:t>iei generale asistență tehnică p</w:t>
            </w:r>
            <w:r>
              <w:rPr>
                <w:rFonts w:ascii="Times New Roman" w:eastAsia="Times New Roman" w:hAnsi="Times New Roman" w:cs="Times New Roman"/>
                <w:b/>
                <w:color w:val="000000" w:themeColor="text1"/>
              </w:rPr>
              <w:t xml:space="preserve">rograme europene </w:t>
            </w:r>
            <w:r>
              <w:rPr>
                <w:rFonts w:ascii="Times New Roman" w:eastAsia="Times New Roman" w:hAnsi="Times New Roman" w:cs="Times New Roman"/>
                <w:color w:val="000000" w:themeColor="text1"/>
              </w:rPr>
              <w:t>66 posturi la 68 posturi</w:t>
            </w:r>
            <w:r>
              <w:rPr>
                <w:rFonts w:ascii="Times New Roman" w:eastAsia="Times New Roman" w:hAnsi="Times New Roman" w:cs="Times New Roman"/>
                <w:b/>
                <w:color w:val="000000" w:themeColor="text1"/>
              </w:rPr>
              <w:t xml:space="preserve"> </w:t>
            </w:r>
          </w:p>
          <w:p w14:paraId="31972156" w14:textId="77777777" w:rsidR="00AE08D6" w:rsidRDefault="00AE08D6" w:rsidP="002A6ABB">
            <w:pPr>
              <w:pStyle w:val="ListParagraph"/>
              <w:spacing w:before="120" w:after="120" w:line="360" w:lineRule="auto"/>
              <w:ind w:left="0"/>
              <w:jc w:val="both"/>
              <w:rPr>
                <w:rFonts w:ascii="Times New Roman" w:eastAsia="Times New Roman" w:hAnsi="Times New Roman" w:cs="Times New Roman"/>
                <w:color w:val="000000" w:themeColor="text1"/>
              </w:rPr>
            </w:pPr>
          </w:p>
          <w:p w14:paraId="3E7623D7" w14:textId="0DE6A255" w:rsidR="00E05FBF" w:rsidRPr="00AE08D6" w:rsidRDefault="002A6ABB" w:rsidP="002A6ABB">
            <w:pPr>
              <w:pStyle w:val="ListParagraph"/>
              <w:spacing w:before="120" w:after="120" w:line="360" w:lineRule="auto"/>
              <w:ind w:left="0"/>
              <w:jc w:val="both"/>
              <w:rPr>
                <w:rFonts w:ascii="Times New Roman" w:eastAsia="Times New Roman" w:hAnsi="Times New Roman" w:cs="Times New Roman"/>
                <w:color w:val="000000" w:themeColor="text1"/>
              </w:rPr>
            </w:pPr>
            <w:r w:rsidRPr="00AE08D6">
              <w:rPr>
                <w:rFonts w:ascii="Times New Roman" w:eastAsia="Times New Roman" w:hAnsi="Times New Roman" w:cs="Times New Roman"/>
                <w:b/>
                <w:color w:val="000000" w:themeColor="text1"/>
              </w:rPr>
              <w:t xml:space="preserve">- </w:t>
            </w:r>
            <w:r w:rsidR="00C6394E" w:rsidRPr="00AE08D6">
              <w:rPr>
                <w:rFonts w:ascii="Times New Roman" w:eastAsia="Times New Roman" w:hAnsi="Times New Roman" w:cs="Times New Roman"/>
                <w:b/>
                <w:color w:val="000000" w:themeColor="text1"/>
              </w:rPr>
              <w:t>redimensionarea Direcției generale juridice și relația cu Par</w:t>
            </w:r>
            <w:r w:rsidRPr="00AE08D6">
              <w:rPr>
                <w:rFonts w:ascii="Times New Roman" w:eastAsia="Times New Roman" w:hAnsi="Times New Roman" w:cs="Times New Roman"/>
                <w:b/>
                <w:color w:val="000000" w:themeColor="text1"/>
              </w:rPr>
              <w:t xml:space="preserve">lamentul de la 58 posturi la 73 </w:t>
            </w:r>
            <w:r w:rsidR="00C6394E" w:rsidRPr="00AE08D6">
              <w:rPr>
                <w:rFonts w:ascii="Times New Roman" w:eastAsia="Times New Roman" w:hAnsi="Times New Roman" w:cs="Times New Roman"/>
                <w:b/>
                <w:color w:val="000000" w:themeColor="text1"/>
              </w:rPr>
              <w:t>posturi</w:t>
            </w:r>
            <w:r w:rsidR="00AE08D6" w:rsidRPr="00AE08D6">
              <w:rPr>
                <w:rFonts w:ascii="Times New Roman" w:eastAsia="Times New Roman" w:hAnsi="Times New Roman" w:cs="Times New Roman"/>
                <w:color w:val="000000" w:themeColor="text1"/>
              </w:rPr>
              <w:t>,</w:t>
            </w:r>
          </w:p>
          <w:p w14:paraId="268FD7E3" w14:textId="77777777" w:rsidR="007E3C6D" w:rsidRDefault="00AE08D6" w:rsidP="007E3C6D">
            <w:pPr>
              <w:pStyle w:val="ListParagraph"/>
              <w:spacing w:before="120" w:after="120" w:line="360" w:lineRule="auto"/>
              <w:ind w:left="0"/>
              <w:jc w:val="both"/>
              <w:rPr>
                <w:color w:val="000000" w:themeColor="text1"/>
              </w:rPr>
            </w:pPr>
            <w:r w:rsidRPr="00AE08D6">
              <w:rPr>
                <w:rFonts w:ascii="Times New Roman" w:eastAsia="Times New Roman" w:hAnsi="Times New Roman" w:cs="Times New Roman"/>
                <w:color w:val="000000" w:themeColor="text1"/>
              </w:rPr>
              <w:t>având in vedere deficitul de personal în raport cu activitățile desfășurate (avizare acte normative, avizare contracte, contencios)</w:t>
            </w:r>
            <w:r w:rsidR="00FF7570">
              <w:rPr>
                <w:rFonts w:ascii="Times New Roman" w:eastAsia="Times New Roman" w:hAnsi="Times New Roman" w:cs="Times New Roman"/>
                <w:color w:val="000000" w:themeColor="text1"/>
              </w:rPr>
              <w:t xml:space="preserve"> </w:t>
            </w:r>
            <w:r>
              <w:rPr>
                <w:color w:val="000000" w:themeColor="text1"/>
              </w:rPr>
              <w:t>și ț</w:t>
            </w:r>
            <w:r w:rsidRPr="009107E6">
              <w:rPr>
                <w:color w:val="000000" w:themeColor="text1"/>
              </w:rPr>
              <w:t>in</w:t>
            </w:r>
            <w:r>
              <w:rPr>
                <w:color w:val="000000" w:themeColor="text1"/>
              </w:rPr>
              <w:t>ând cont totodată</w:t>
            </w:r>
            <w:r w:rsidRPr="009107E6">
              <w:rPr>
                <w:color w:val="000000" w:themeColor="text1"/>
              </w:rPr>
              <w:t xml:space="preserve"> de pre</w:t>
            </w:r>
            <w:r>
              <w:rPr>
                <w:color w:val="000000" w:themeColor="text1"/>
              </w:rPr>
              <w:t>dicț</w:t>
            </w:r>
            <w:r w:rsidRPr="009107E6">
              <w:rPr>
                <w:color w:val="000000" w:themeColor="text1"/>
              </w:rPr>
              <w:t>iile volumului de activitate la celelalte structuri de specialitate ale ministerului</w:t>
            </w:r>
          </w:p>
          <w:p w14:paraId="31D38A09" w14:textId="77777777" w:rsidR="007E3C6D" w:rsidRDefault="007E3C6D" w:rsidP="007E3C6D">
            <w:pPr>
              <w:pStyle w:val="ListParagraph"/>
              <w:spacing w:before="120" w:after="120" w:line="360" w:lineRule="auto"/>
              <w:ind w:left="0"/>
              <w:jc w:val="both"/>
              <w:rPr>
                <w:rFonts w:ascii="Times New Roman" w:eastAsia="Times New Roman" w:hAnsi="Times New Roman" w:cs="Times New Roman"/>
                <w:color w:val="000000" w:themeColor="text1"/>
              </w:rPr>
            </w:pPr>
          </w:p>
          <w:p w14:paraId="0CC0A4D7" w14:textId="48F670AF" w:rsidR="002141AE" w:rsidRDefault="007E3C6D" w:rsidP="007E3C6D">
            <w:pPr>
              <w:pStyle w:val="ListParagraph"/>
              <w:spacing w:before="120" w:after="120" w:line="360" w:lineRule="auto"/>
              <w:ind w:left="0"/>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00C6394E" w:rsidRPr="004B5EB3">
              <w:rPr>
                <w:rFonts w:ascii="Times New Roman" w:eastAsia="Times New Roman" w:hAnsi="Times New Roman" w:cs="Times New Roman"/>
                <w:b/>
                <w:color w:val="000000" w:themeColor="text1"/>
              </w:rPr>
              <w:t>redimensionarea Direcției generale managementul resurselor umane și asigurarea capacității administrative</w:t>
            </w:r>
            <w:r w:rsidR="00C6394E" w:rsidRPr="002C65CA">
              <w:rPr>
                <w:rFonts w:ascii="Times New Roman" w:eastAsia="Times New Roman" w:hAnsi="Times New Roman" w:cs="Times New Roman"/>
                <w:color w:val="000000" w:themeColor="text1"/>
              </w:rPr>
              <w:t xml:space="preserve"> de la 36</w:t>
            </w:r>
            <w:r>
              <w:rPr>
                <w:rFonts w:ascii="Times New Roman" w:eastAsia="Times New Roman" w:hAnsi="Times New Roman" w:cs="Times New Roman"/>
                <w:color w:val="000000" w:themeColor="text1"/>
              </w:rPr>
              <w:t xml:space="preserve"> posturi la 41</w:t>
            </w:r>
            <w:r w:rsidR="000E6C96" w:rsidRPr="002C65CA">
              <w:rPr>
                <w:rFonts w:ascii="Times New Roman" w:eastAsia="Times New Roman" w:hAnsi="Times New Roman" w:cs="Times New Roman"/>
                <w:color w:val="000000" w:themeColor="text1"/>
              </w:rPr>
              <w:t xml:space="preserve"> </w:t>
            </w:r>
            <w:r w:rsidR="00C6394E" w:rsidRPr="002C65CA">
              <w:rPr>
                <w:rFonts w:ascii="Times New Roman" w:eastAsia="Times New Roman" w:hAnsi="Times New Roman" w:cs="Times New Roman"/>
                <w:color w:val="000000" w:themeColor="text1"/>
              </w:rPr>
              <w:t>posturi</w:t>
            </w:r>
            <w:r w:rsidR="00EE6649" w:rsidRPr="002C65CA">
              <w:rPr>
                <w:rFonts w:ascii="Times New Roman" w:eastAsia="Times New Roman" w:hAnsi="Times New Roman" w:cs="Times New Roman"/>
                <w:color w:val="000000" w:themeColor="text1"/>
              </w:rPr>
              <w:t xml:space="preserve">, urmare creșterii numărului de posturi de la nivelul  Ministerului </w:t>
            </w:r>
            <w:r w:rsidR="002757B5" w:rsidRPr="002C65CA">
              <w:rPr>
                <w:rFonts w:ascii="Times New Roman" w:eastAsia="Times New Roman" w:hAnsi="Times New Roman" w:cs="Times New Roman"/>
                <w:color w:val="000000" w:themeColor="text1"/>
              </w:rPr>
              <w:t>Investițiilor și Proiectelor Europene</w:t>
            </w:r>
            <w:r w:rsidR="00B1697D" w:rsidRPr="002C65CA">
              <w:rPr>
                <w:rFonts w:ascii="Times New Roman" w:eastAsia="Times New Roman" w:hAnsi="Times New Roman" w:cs="Times New Roman"/>
                <w:color w:val="000000" w:themeColor="text1"/>
              </w:rPr>
              <w:t xml:space="preserve"> în raport cu documentele care</w:t>
            </w:r>
            <w:r w:rsidR="00E05FBF" w:rsidRPr="002C65CA">
              <w:rPr>
                <w:rFonts w:ascii="Times New Roman" w:eastAsia="Times New Roman" w:hAnsi="Times New Roman" w:cs="Times New Roman"/>
                <w:color w:val="000000" w:themeColor="text1"/>
              </w:rPr>
              <w:t xml:space="preserve"> trebuie gestionate/procesate </w:t>
            </w:r>
            <w:r w:rsidR="00E05FBF" w:rsidRPr="00E05FBF">
              <w:rPr>
                <w:rFonts w:ascii="Times New Roman" w:eastAsia="Times New Roman" w:hAnsi="Times New Roman" w:cs="Times New Roman"/>
                <w:color w:val="000000" w:themeColor="text1"/>
              </w:rPr>
              <w:t>și având în vedere</w:t>
            </w:r>
            <w:r w:rsidR="00267283">
              <w:rPr>
                <w:rFonts w:ascii="Times New Roman" w:eastAsia="Times New Roman" w:hAnsi="Times New Roman" w:cs="Times New Roman"/>
                <w:color w:val="000000" w:themeColor="text1"/>
              </w:rPr>
              <w:t xml:space="preserve"> totodată</w:t>
            </w:r>
            <w:r w:rsidR="00E05FBF" w:rsidRPr="00E05FBF">
              <w:rPr>
                <w:rFonts w:ascii="Times New Roman" w:eastAsia="Times New Roman" w:hAnsi="Times New Roman" w:cs="Times New Roman"/>
                <w:color w:val="000000" w:themeColor="text1"/>
              </w:rPr>
              <w:t xml:space="preserve"> gradul de încărcare a personalului existent</w:t>
            </w:r>
          </w:p>
          <w:p w14:paraId="54EAE111" w14:textId="77777777" w:rsidR="002141AE" w:rsidRPr="002141AE" w:rsidRDefault="002141AE" w:rsidP="002141AE">
            <w:pPr>
              <w:spacing w:before="120" w:after="120" w:line="360" w:lineRule="auto"/>
              <w:jc w:val="both"/>
              <w:rPr>
                <w:color w:val="000000" w:themeColor="text1"/>
              </w:rPr>
            </w:pPr>
          </w:p>
          <w:p w14:paraId="6E56DD90" w14:textId="09F22607" w:rsidR="006725F2" w:rsidRDefault="006725F2" w:rsidP="00B956B6">
            <w:pPr>
              <w:pStyle w:val="ListParagraph"/>
              <w:numPr>
                <w:ilvl w:val="0"/>
                <w:numId w:val="38"/>
              </w:numPr>
              <w:spacing w:before="120" w:after="120" w:line="360" w:lineRule="auto"/>
              <w:jc w:val="both"/>
              <w:rPr>
                <w:rFonts w:ascii="Times New Roman" w:eastAsia="Times New Roman" w:hAnsi="Times New Roman" w:cs="Times New Roman"/>
                <w:color w:val="000000" w:themeColor="text1"/>
              </w:rPr>
            </w:pPr>
            <w:r w:rsidRPr="004B5EB3">
              <w:rPr>
                <w:rFonts w:ascii="Times New Roman" w:eastAsia="Times New Roman" w:hAnsi="Times New Roman" w:cs="Times New Roman"/>
                <w:b/>
                <w:color w:val="000000" w:themeColor="text1"/>
              </w:rPr>
              <w:t xml:space="preserve">redimensionarea </w:t>
            </w:r>
            <w:r w:rsidR="00127BF7" w:rsidRPr="004B5EB3">
              <w:rPr>
                <w:rFonts w:ascii="Times New Roman" w:eastAsia="Times New Roman" w:hAnsi="Times New Roman" w:cs="Times New Roman"/>
                <w:b/>
                <w:color w:val="000000" w:themeColor="text1"/>
              </w:rPr>
              <w:t>Organismului Intermediar Regional pentru Programe Europene Capital Uman</w:t>
            </w:r>
            <w:r w:rsidR="00497C5D" w:rsidRPr="004B5EB3">
              <w:rPr>
                <w:rFonts w:ascii="Times New Roman" w:eastAsia="Times New Roman" w:hAnsi="Times New Roman" w:cs="Times New Roman"/>
                <w:b/>
                <w:color w:val="000000" w:themeColor="text1"/>
              </w:rPr>
              <w:t xml:space="preserve"> Regiunea Nord-Est</w:t>
            </w:r>
            <w:r w:rsidR="00497C5D" w:rsidRPr="00E84287">
              <w:rPr>
                <w:rFonts w:ascii="Times New Roman" w:eastAsia="Times New Roman" w:hAnsi="Times New Roman" w:cs="Times New Roman"/>
                <w:color w:val="000000" w:themeColor="text1"/>
              </w:rPr>
              <w:t xml:space="preserve"> de la 45 posturi la 46 posturi, având în vedere misiunea de audit cu tema “  Evaluarea activității de audit din cadrul OIRPECU NORD -EST“, cu recomandarea suplimentării cu un post a numărului de posturi pentru Compartimentul audit public intern, astfel încât să fie posibilă supervizarea misiunilor de audit și acoperirea sferei auditabile în termenul legal</w:t>
            </w:r>
          </w:p>
          <w:p w14:paraId="680ACF60" w14:textId="77777777" w:rsidR="002141AE" w:rsidRPr="002141AE" w:rsidRDefault="002141AE" w:rsidP="002141AE">
            <w:pPr>
              <w:pStyle w:val="ListParagraph"/>
              <w:rPr>
                <w:rFonts w:ascii="Times New Roman" w:eastAsia="Times New Roman" w:hAnsi="Times New Roman" w:cs="Times New Roman"/>
                <w:color w:val="000000" w:themeColor="text1"/>
              </w:rPr>
            </w:pPr>
          </w:p>
          <w:p w14:paraId="29A98973" w14:textId="237EBFE3" w:rsidR="002141AE" w:rsidRPr="002141AE" w:rsidRDefault="002141AE" w:rsidP="002141AE">
            <w:pPr>
              <w:spacing w:before="120" w:after="120" w:line="360" w:lineRule="auto"/>
              <w:jc w:val="both"/>
              <w:rPr>
                <w:color w:val="000000" w:themeColor="text1"/>
              </w:rPr>
            </w:pPr>
            <w:r>
              <w:rPr>
                <w:color w:val="000000" w:themeColor="text1"/>
              </w:rPr>
              <w:t>Lu</w:t>
            </w:r>
            <w:r w:rsidR="00721F71">
              <w:rPr>
                <w:color w:val="000000" w:themeColor="text1"/>
              </w:rPr>
              <w:t>â</w:t>
            </w:r>
            <w:r>
              <w:rPr>
                <w:color w:val="000000" w:themeColor="text1"/>
              </w:rPr>
              <w:t xml:space="preserve">nd </w:t>
            </w:r>
            <w:r w:rsidR="00721F71">
              <w:rPr>
                <w:color w:val="000000" w:themeColor="text1"/>
              </w:rPr>
              <w:t>î</w:t>
            </w:r>
            <w:r>
              <w:rPr>
                <w:color w:val="000000" w:themeColor="text1"/>
              </w:rPr>
              <w:t>n considerare cele mai sus men</w:t>
            </w:r>
            <w:r w:rsidR="00721F71">
              <w:rPr>
                <w:color w:val="000000" w:themeColor="text1"/>
              </w:rPr>
              <w:t>ț</w:t>
            </w:r>
            <w:r>
              <w:rPr>
                <w:color w:val="000000" w:themeColor="text1"/>
              </w:rPr>
              <w:t xml:space="preserve">ionate, </w:t>
            </w:r>
            <w:r w:rsidR="00721F71">
              <w:rPr>
                <w:color w:val="000000" w:themeColor="text1"/>
              </w:rPr>
              <w:t>ț</w:t>
            </w:r>
            <w:r>
              <w:rPr>
                <w:color w:val="000000" w:themeColor="text1"/>
              </w:rPr>
              <w:t>in</w:t>
            </w:r>
            <w:r w:rsidR="00721F71">
              <w:rPr>
                <w:color w:val="000000" w:themeColor="text1"/>
              </w:rPr>
              <w:t>â</w:t>
            </w:r>
            <w:r>
              <w:rPr>
                <w:color w:val="000000" w:themeColor="text1"/>
              </w:rPr>
              <w:t>nd cont de faptul ca desf</w:t>
            </w:r>
            <w:r w:rsidR="00721F71">
              <w:rPr>
                <w:color w:val="000000" w:themeColor="text1"/>
              </w:rPr>
              <w:t>ăș</w:t>
            </w:r>
            <w:r>
              <w:rPr>
                <w:color w:val="000000" w:themeColor="text1"/>
              </w:rPr>
              <w:t>urarea activit</w:t>
            </w:r>
            <w:r w:rsidR="00721F71">
              <w:rPr>
                <w:color w:val="000000" w:themeColor="text1"/>
              </w:rPr>
              <w:t>ăț</w:t>
            </w:r>
            <w:r>
              <w:rPr>
                <w:color w:val="000000" w:themeColor="text1"/>
              </w:rPr>
              <w:t>ii Ministerului Investi</w:t>
            </w:r>
            <w:r w:rsidR="00721F71">
              <w:rPr>
                <w:color w:val="000000" w:themeColor="text1"/>
              </w:rPr>
              <w:t>ț</w:t>
            </w:r>
            <w:r>
              <w:rPr>
                <w:color w:val="000000" w:themeColor="text1"/>
              </w:rPr>
              <w:t xml:space="preserve">iilor </w:t>
            </w:r>
            <w:r w:rsidR="00721F71">
              <w:rPr>
                <w:color w:val="000000" w:themeColor="text1"/>
              </w:rPr>
              <w:t>ș</w:t>
            </w:r>
            <w:r>
              <w:rPr>
                <w:color w:val="000000" w:themeColor="text1"/>
              </w:rPr>
              <w:t>i Proiectelor Europene implic</w:t>
            </w:r>
            <w:r w:rsidR="00721F71">
              <w:rPr>
                <w:color w:val="000000" w:themeColor="text1"/>
              </w:rPr>
              <w:t>ă</w:t>
            </w:r>
            <w:r>
              <w:rPr>
                <w:color w:val="000000" w:themeColor="text1"/>
              </w:rPr>
              <w:t xml:space="preserve"> deplas</w:t>
            </w:r>
            <w:r w:rsidR="00721F71">
              <w:rPr>
                <w:color w:val="000000" w:themeColor="text1"/>
              </w:rPr>
              <w:t>ă</w:t>
            </w:r>
            <w:r>
              <w:rPr>
                <w:color w:val="000000" w:themeColor="text1"/>
              </w:rPr>
              <w:t>ri frecvente a personalului pentru derularea activit</w:t>
            </w:r>
            <w:r w:rsidR="00721F71">
              <w:rPr>
                <w:color w:val="000000" w:themeColor="text1"/>
              </w:rPr>
              <w:t>ăț</w:t>
            </w:r>
            <w:r>
              <w:rPr>
                <w:color w:val="000000" w:themeColor="text1"/>
              </w:rPr>
              <w:t>ilor specifice, necesitatea asigur</w:t>
            </w:r>
            <w:r w:rsidR="00721F71">
              <w:rPr>
                <w:color w:val="000000" w:themeColor="text1"/>
              </w:rPr>
              <w:t>ă</w:t>
            </w:r>
            <w:r>
              <w:rPr>
                <w:color w:val="000000" w:themeColor="text1"/>
              </w:rPr>
              <w:t>rii condi</w:t>
            </w:r>
            <w:r w:rsidR="00721F71">
              <w:rPr>
                <w:color w:val="000000" w:themeColor="text1"/>
              </w:rPr>
              <w:t>ț</w:t>
            </w:r>
            <w:r>
              <w:rPr>
                <w:color w:val="000000" w:themeColor="text1"/>
              </w:rPr>
              <w:t xml:space="preserve">iilor optime pentru coordonarea tuturor structurilor, precum </w:t>
            </w:r>
            <w:r w:rsidR="00721F71">
              <w:rPr>
                <w:color w:val="000000" w:themeColor="text1"/>
              </w:rPr>
              <w:t>ș</w:t>
            </w:r>
            <w:r>
              <w:rPr>
                <w:color w:val="000000" w:themeColor="text1"/>
              </w:rPr>
              <w:t>i pentru asigurarea unei leg</w:t>
            </w:r>
            <w:r w:rsidR="00721F71">
              <w:rPr>
                <w:color w:val="000000" w:themeColor="text1"/>
              </w:rPr>
              <w:t>ă</w:t>
            </w:r>
            <w:r>
              <w:rPr>
                <w:color w:val="000000" w:themeColor="text1"/>
              </w:rPr>
              <w:t>turi active cu celelalte institu</w:t>
            </w:r>
            <w:r w:rsidR="00721F71">
              <w:rPr>
                <w:color w:val="000000" w:themeColor="text1"/>
              </w:rPr>
              <w:t>ț</w:t>
            </w:r>
            <w:r>
              <w:rPr>
                <w:color w:val="000000" w:themeColor="text1"/>
              </w:rPr>
              <w:t xml:space="preserve">ii </w:t>
            </w:r>
            <w:r w:rsidR="00721F71">
              <w:rPr>
                <w:color w:val="000000" w:themeColor="text1"/>
              </w:rPr>
              <w:t>ș</w:t>
            </w:r>
            <w:r>
              <w:rPr>
                <w:color w:val="000000" w:themeColor="text1"/>
              </w:rPr>
              <w:t>i autorit</w:t>
            </w:r>
            <w:r w:rsidR="00721F71">
              <w:rPr>
                <w:color w:val="000000" w:themeColor="text1"/>
              </w:rPr>
              <w:t>ăț</w:t>
            </w:r>
            <w:r>
              <w:rPr>
                <w:color w:val="000000" w:themeColor="text1"/>
              </w:rPr>
              <w:t>i centrale, se propune suplimentarea cu 8 autoturisme</w:t>
            </w:r>
            <w:r w:rsidR="005C6F65">
              <w:rPr>
                <w:color w:val="000000" w:themeColor="text1"/>
              </w:rPr>
              <w:t xml:space="preserve"> a num</w:t>
            </w:r>
            <w:r w:rsidR="00721F71">
              <w:rPr>
                <w:color w:val="000000" w:themeColor="text1"/>
              </w:rPr>
              <w:t>ă</w:t>
            </w:r>
            <w:r w:rsidR="001F44D1">
              <w:rPr>
                <w:color w:val="000000" w:themeColor="text1"/>
              </w:rPr>
              <w:t xml:space="preserve">rului alocat ministerului, </w:t>
            </w:r>
            <w:r w:rsidR="001F44D1" w:rsidRPr="001F44D1">
              <w:rPr>
                <w:color w:val="000000" w:themeColor="text1"/>
              </w:rPr>
              <w:t>respectiv de la 70 la 78 autoturisme</w:t>
            </w:r>
            <w:r w:rsidR="001F44D1">
              <w:rPr>
                <w:color w:val="000000" w:themeColor="text1"/>
              </w:rPr>
              <w:t>.</w:t>
            </w:r>
          </w:p>
          <w:p w14:paraId="6ACF4FF7" w14:textId="5E2A924A" w:rsidR="00150A3E" w:rsidRPr="008C1038" w:rsidRDefault="002E6767" w:rsidP="006C28DB">
            <w:pPr>
              <w:spacing w:before="120" w:after="120" w:line="360" w:lineRule="auto"/>
              <w:jc w:val="both"/>
              <w:rPr>
                <w:color w:val="000000" w:themeColor="text1"/>
              </w:rPr>
            </w:pPr>
            <w:r w:rsidRPr="008C1038">
              <w:rPr>
                <w:color w:val="000000" w:themeColor="text1"/>
              </w:rPr>
              <w:t>Menționăm că n</w:t>
            </w:r>
            <w:r w:rsidR="00150A3E" w:rsidRPr="008C1038">
              <w:rPr>
                <w:color w:val="000000" w:themeColor="text1"/>
              </w:rPr>
              <w:t>ecesarul de posturi nu poate fi asigurat prin redistr</w:t>
            </w:r>
            <w:r w:rsidR="00BE627F" w:rsidRPr="008C1038">
              <w:rPr>
                <w:color w:val="000000" w:themeColor="text1"/>
              </w:rPr>
              <w:t xml:space="preserve">ibuirea actualelor </w:t>
            </w:r>
            <w:r w:rsidRPr="008C1038">
              <w:rPr>
                <w:color w:val="000000" w:themeColor="text1"/>
              </w:rPr>
              <w:t xml:space="preserve">posturi </w:t>
            </w:r>
            <w:r w:rsidR="00BE627F" w:rsidRPr="008C1038">
              <w:rPr>
                <w:color w:val="000000" w:themeColor="text1"/>
              </w:rPr>
              <w:t>vacante, existentă</w:t>
            </w:r>
            <w:r w:rsidR="00150A3E" w:rsidRPr="008C1038">
              <w:rPr>
                <w:color w:val="000000" w:themeColor="text1"/>
              </w:rPr>
              <w:t xml:space="preserve"> la nivelul unor </w:t>
            </w:r>
            <w:r w:rsidR="00132CE7" w:rsidRPr="008C1038">
              <w:rPr>
                <w:color w:val="000000" w:themeColor="text1"/>
              </w:rPr>
              <w:t>structuri ale ministerului</w:t>
            </w:r>
            <w:r w:rsidR="00150A3E" w:rsidRPr="008C1038">
              <w:rPr>
                <w:color w:val="000000" w:themeColor="text1"/>
              </w:rPr>
              <w:t xml:space="preserve">, întrucât în unele situații, un astfel de demers, ar afecta capacitatea operativă a acestora, iar în altele, o astfel de acțiune nu poate fi avută în vedere deoarece </w:t>
            </w:r>
            <w:r w:rsidR="00132CE7" w:rsidRPr="008C1038">
              <w:rPr>
                <w:color w:val="000000" w:themeColor="text1"/>
              </w:rPr>
              <w:t>nu ar mai respecta</w:t>
            </w:r>
            <w:r w:rsidR="00150A3E" w:rsidRPr="008C1038">
              <w:rPr>
                <w:color w:val="000000" w:themeColor="text1"/>
              </w:rPr>
              <w:t xml:space="preserve"> criteriile de constituire a structurilor din cadrul </w:t>
            </w:r>
            <w:r w:rsidR="00132CE7" w:rsidRPr="008C1038">
              <w:rPr>
                <w:color w:val="000000" w:themeColor="text1"/>
              </w:rPr>
              <w:t>ministerului, conform normativului stabilit de legiuitor.</w:t>
            </w:r>
          </w:p>
          <w:p w14:paraId="2E70A740" w14:textId="5AA9F104" w:rsidR="00A462B9" w:rsidRDefault="00A462B9" w:rsidP="006C28DB">
            <w:pPr>
              <w:spacing w:before="120" w:after="120" w:line="360" w:lineRule="auto"/>
              <w:jc w:val="both"/>
              <w:rPr>
                <w:color w:val="000000" w:themeColor="text1"/>
              </w:rPr>
            </w:pPr>
            <w:r>
              <w:rPr>
                <w:color w:val="000000" w:themeColor="text1"/>
              </w:rPr>
              <w:t>Aceste modific</w:t>
            </w:r>
            <w:r w:rsidR="00721F71">
              <w:rPr>
                <w:color w:val="000000" w:themeColor="text1"/>
              </w:rPr>
              <w:t>ă</w:t>
            </w:r>
            <w:r>
              <w:rPr>
                <w:color w:val="000000" w:themeColor="text1"/>
              </w:rPr>
              <w:t xml:space="preserve">ri organizatorice se vor realiza </w:t>
            </w:r>
            <w:r w:rsidR="00721F71">
              <w:rPr>
                <w:color w:val="000000" w:themeColor="text1"/>
              </w:rPr>
              <w:t>î</w:t>
            </w:r>
            <w:r>
              <w:rPr>
                <w:color w:val="000000" w:themeColor="text1"/>
              </w:rPr>
              <w:t>n condi</w:t>
            </w:r>
            <w:r w:rsidR="00721F71">
              <w:rPr>
                <w:color w:val="000000" w:themeColor="text1"/>
              </w:rPr>
              <w:t>ț</w:t>
            </w:r>
            <w:r>
              <w:rPr>
                <w:color w:val="000000" w:themeColor="text1"/>
              </w:rPr>
              <w:t xml:space="preserve">iile </w:t>
            </w:r>
            <w:r w:rsidRPr="008C1038">
              <w:rPr>
                <w:color w:val="000000" w:themeColor="text1"/>
              </w:rPr>
              <w:t>art.518 și ale art.562 din OUG nr.57/2019 privind Codul administrativ, cu modificările și completările ulterioare</w:t>
            </w:r>
            <w:r>
              <w:rPr>
                <w:color w:val="000000" w:themeColor="text1"/>
              </w:rPr>
              <w:t>, respectiv atribu</w:t>
            </w:r>
            <w:r w:rsidR="00721F71">
              <w:rPr>
                <w:color w:val="000000" w:themeColor="text1"/>
              </w:rPr>
              <w:t>ț</w:t>
            </w:r>
            <w:r>
              <w:rPr>
                <w:color w:val="000000" w:themeColor="text1"/>
              </w:rPr>
              <w:t>iile func</w:t>
            </w:r>
            <w:r w:rsidR="00721F71">
              <w:rPr>
                <w:color w:val="000000" w:themeColor="text1"/>
              </w:rPr>
              <w:t>ț</w:t>
            </w:r>
            <w:r>
              <w:rPr>
                <w:color w:val="000000" w:themeColor="text1"/>
              </w:rPr>
              <w:t xml:space="preserve">ionarilor publici de conducere </w:t>
            </w:r>
            <w:r w:rsidR="00721F71">
              <w:rPr>
                <w:color w:val="000000" w:themeColor="text1"/>
              </w:rPr>
              <w:t>ș</w:t>
            </w:r>
            <w:r>
              <w:rPr>
                <w:color w:val="000000" w:themeColor="text1"/>
              </w:rPr>
              <w:t>i de execu</w:t>
            </w:r>
            <w:r w:rsidR="00721F71">
              <w:rPr>
                <w:color w:val="000000" w:themeColor="text1"/>
              </w:rPr>
              <w:t>ț</w:t>
            </w:r>
            <w:r>
              <w:rPr>
                <w:color w:val="000000" w:themeColor="text1"/>
              </w:rPr>
              <w:t>ie nu se vor modifica mai mult de 50%.</w:t>
            </w:r>
          </w:p>
          <w:p w14:paraId="017782D8" w14:textId="77777777" w:rsidR="00B74743" w:rsidRDefault="00B74743" w:rsidP="006C28DB">
            <w:pPr>
              <w:spacing w:after="240" w:line="360" w:lineRule="auto"/>
              <w:jc w:val="both"/>
              <w:rPr>
                <w:color w:val="000000" w:themeColor="text1"/>
              </w:rPr>
            </w:pPr>
            <w:r w:rsidRPr="00430AFD">
              <w:rPr>
                <w:color w:val="000000" w:themeColor="text1"/>
              </w:rPr>
              <w:t xml:space="preserve">Se va respecta normativul de constituire a unei structuri și de încadrare a funcțiilor publice de conducere în procentul de maximum 12% din numărul total al posturilor aprobate. </w:t>
            </w:r>
          </w:p>
          <w:p w14:paraId="60E35888" w14:textId="4B3DDAE4" w:rsidR="00B74743" w:rsidRDefault="000179B9" w:rsidP="006C28DB">
            <w:pPr>
              <w:spacing w:after="240" w:line="360" w:lineRule="auto"/>
              <w:jc w:val="both"/>
              <w:rPr>
                <w:color w:val="000000" w:themeColor="text1"/>
              </w:rPr>
            </w:pPr>
            <w:r>
              <w:t>Încadrarea personalului în numărul de posturi și în noua structură organizatorică se va realiza în termenele și cu procedura aplicabilă fiecărei categorii de personal, prin Ordin al ministrului investițiilor și proiectelor europene, în condițiile legii.</w:t>
            </w:r>
          </w:p>
          <w:p w14:paraId="0CC83EDD" w14:textId="6342B099" w:rsidR="00B74743" w:rsidRDefault="00B74743" w:rsidP="006C28DB">
            <w:pPr>
              <w:spacing w:after="240" w:line="360" w:lineRule="auto"/>
              <w:jc w:val="both"/>
              <w:rPr>
                <w:color w:val="000000" w:themeColor="text1"/>
              </w:rPr>
            </w:pPr>
            <w:r w:rsidRPr="00430AFD">
              <w:rPr>
                <w:color w:val="000000" w:themeColor="text1"/>
              </w:rPr>
              <w:t xml:space="preserve">Având în vedere schimbările preconizate în modificarea structurii organizatorice a Ministerului </w:t>
            </w:r>
            <w:r>
              <w:rPr>
                <w:color w:val="000000" w:themeColor="text1"/>
              </w:rPr>
              <w:t>Investi</w:t>
            </w:r>
            <w:r w:rsidR="00721F71">
              <w:rPr>
                <w:color w:val="000000" w:themeColor="text1"/>
              </w:rPr>
              <w:t>ț</w:t>
            </w:r>
            <w:r>
              <w:rPr>
                <w:color w:val="000000" w:themeColor="text1"/>
              </w:rPr>
              <w:t>iilor</w:t>
            </w:r>
            <w:r w:rsidRPr="00430AFD">
              <w:rPr>
                <w:color w:val="000000" w:themeColor="text1"/>
              </w:rPr>
              <w:t xml:space="preserve"> și Proiectelor Europene, </w:t>
            </w:r>
            <w:r w:rsidR="00F16EDD">
              <w:rPr>
                <w:color w:val="000000" w:themeColor="text1"/>
              </w:rPr>
              <w:t>se impune modificarea anexei</w:t>
            </w:r>
            <w:r w:rsidRPr="00430AFD">
              <w:rPr>
                <w:color w:val="000000" w:themeColor="text1"/>
              </w:rPr>
              <w:t xml:space="preserve"> nr. 1</w:t>
            </w:r>
            <w:r w:rsidR="00F16EDD">
              <w:rPr>
                <w:color w:val="000000" w:themeColor="text1"/>
              </w:rPr>
              <w:t xml:space="preserve"> </w:t>
            </w:r>
            <w:r w:rsidRPr="00430AFD">
              <w:rPr>
                <w:color w:val="000000" w:themeColor="text1"/>
              </w:rPr>
              <w:t>la Hotărârea Guvernului nr. 52/2018,</w:t>
            </w:r>
            <w:r w:rsidR="00F16EDD">
              <w:rPr>
                <w:color w:val="000000" w:themeColor="text1"/>
              </w:rPr>
              <w:t xml:space="preserve"> privind organizarea și funcționarea Ministerului Investițiilor și Proiectelor Europene,</w:t>
            </w:r>
            <w:r w:rsidRPr="00430AFD">
              <w:rPr>
                <w:color w:val="000000" w:themeColor="text1"/>
              </w:rPr>
              <w:t xml:space="preserve"> cu modificările și completările ulterioare în sensul reorganizării instituționale, astfel încât să fie susținute  obiectivele stabilite prin strategii și asumate prin angajamente cu Comisia Europeană.</w:t>
            </w:r>
          </w:p>
          <w:p w14:paraId="6A35359A" w14:textId="0393BAFF" w:rsidR="00B74743" w:rsidRDefault="004C0501" w:rsidP="006C28DB">
            <w:pPr>
              <w:spacing w:before="120" w:after="120" w:line="360" w:lineRule="auto"/>
              <w:jc w:val="both"/>
              <w:rPr>
                <w:color w:val="000000" w:themeColor="text1"/>
              </w:rPr>
            </w:pPr>
            <w:r>
              <w:rPr>
                <w:color w:val="000000" w:themeColor="text1"/>
              </w:rPr>
              <w:lastRenderedPageBreak/>
              <w:t>S</w:t>
            </w:r>
            <w:r w:rsidR="00B74743">
              <w:rPr>
                <w:color w:val="000000" w:themeColor="text1"/>
              </w:rPr>
              <w:t xml:space="preserve">tructură organizatorica </w:t>
            </w:r>
            <w:r>
              <w:rPr>
                <w:color w:val="000000" w:themeColor="text1"/>
              </w:rPr>
              <w:t xml:space="preserve">a Ministerului Investițiilor și Proiectelor Europene </w:t>
            </w:r>
            <w:r w:rsidR="00B74743">
              <w:rPr>
                <w:color w:val="000000" w:themeColor="text1"/>
              </w:rPr>
              <w:t>are în</w:t>
            </w:r>
            <w:r w:rsidR="00B74743" w:rsidRPr="00430AFD">
              <w:rPr>
                <w:color w:val="000000" w:themeColor="text1"/>
              </w:rPr>
              <w:t xml:space="preserve"> vedere eficientizarea activității și redistribuirea de atribuții, în concordanță cu obiectivul de întărire a capacității instituționale a structurilor din administrația publică centrală, precum și cu principiile care stau la baza exercitării funcției publice, respectiv principiul subordonării ierarhice, performanței, eficienței și eficacității, imparțialității, obiectivității si responsabilității.</w:t>
            </w:r>
          </w:p>
          <w:p w14:paraId="18807FEF" w14:textId="77777777" w:rsidR="00150A3E" w:rsidRDefault="00150A3E" w:rsidP="006C28DB">
            <w:pPr>
              <w:autoSpaceDE w:val="0"/>
              <w:autoSpaceDN w:val="0"/>
              <w:adjustRightInd w:val="0"/>
              <w:spacing w:after="120" w:line="360" w:lineRule="auto"/>
              <w:jc w:val="both"/>
              <w:rPr>
                <w:b/>
                <w:bCs/>
                <w:lang w:eastAsia="en-GB"/>
              </w:rPr>
            </w:pPr>
          </w:p>
          <w:p w14:paraId="27831B60" w14:textId="77777777" w:rsidR="00223491" w:rsidRDefault="00223491" w:rsidP="006C28DB">
            <w:pPr>
              <w:autoSpaceDE w:val="0"/>
              <w:autoSpaceDN w:val="0"/>
              <w:adjustRightInd w:val="0"/>
              <w:spacing w:after="120" w:line="360" w:lineRule="auto"/>
              <w:jc w:val="both"/>
              <w:rPr>
                <w:b/>
                <w:bCs/>
                <w:lang w:eastAsia="en-GB"/>
              </w:rPr>
            </w:pPr>
            <w:r w:rsidRPr="00223491">
              <w:rPr>
                <w:b/>
                <w:bCs/>
                <w:lang w:eastAsia="en-GB"/>
              </w:rPr>
              <w:t>2.4 Alte informații</w:t>
            </w:r>
            <w:r w:rsidR="0064777F">
              <w:rPr>
                <w:b/>
                <w:bCs/>
                <w:lang w:eastAsia="en-GB"/>
              </w:rPr>
              <w:t xml:space="preserve"> *)</w:t>
            </w:r>
          </w:p>
          <w:p w14:paraId="45862F79" w14:textId="4D434EE2" w:rsidR="000F01C4" w:rsidRPr="00256383" w:rsidRDefault="000F01C4" w:rsidP="006C28DB">
            <w:pPr>
              <w:autoSpaceDE w:val="0"/>
              <w:autoSpaceDN w:val="0"/>
              <w:adjustRightInd w:val="0"/>
              <w:spacing w:after="120" w:line="360" w:lineRule="auto"/>
              <w:jc w:val="both"/>
              <w:rPr>
                <w:bCs/>
                <w:lang w:eastAsia="en-GB"/>
              </w:rPr>
            </w:pPr>
            <w:r>
              <w:rPr>
                <w:bCs/>
                <w:lang w:eastAsia="en-GB"/>
              </w:rPr>
              <w:t>Nu au fost identificate.</w:t>
            </w:r>
          </w:p>
        </w:tc>
      </w:tr>
      <w:tr w:rsidR="0044327F" w:rsidRPr="00F73219" w14:paraId="6E332E9F" w14:textId="77777777" w:rsidTr="005144FA">
        <w:trPr>
          <w:trHeight w:val="841"/>
        </w:trPr>
        <w:tc>
          <w:tcPr>
            <w:tcW w:w="10490" w:type="dxa"/>
          </w:tcPr>
          <w:p w14:paraId="5238F59B" w14:textId="77777777" w:rsidR="0044327F" w:rsidRPr="00223491" w:rsidRDefault="0044327F" w:rsidP="006C28DB">
            <w:pPr>
              <w:autoSpaceDE w:val="0"/>
              <w:autoSpaceDN w:val="0"/>
              <w:adjustRightInd w:val="0"/>
              <w:spacing w:after="120" w:line="360" w:lineRule="auto"/>
              <w:jc w:val="both"/>
              <w:rPr>
                <w:b/>
                <w:lang w:eastAsia="ro-RO"/>
              </w:rPr>
            </w:pPr>
          </w:p>
        </w:tc>
      </w:tr>
    </w:tbl>
    <w:p w14:paraId="2DB4CCB7" w14:textId="77777777" w:rsidR="003864F6" w:rsidRPr="00F73219" w:rsidRDefault="00DB715E" w:rsidP="008838DB">
      <w:pPr>
        <w:spacing w:after="120"/>
        <w:rPr>
          <w:b/>
        </w:rPr>
      </w:pPr>
      <w:r w:rsidRPr="00F73219">
        <w:rPr>
          <w:b/>
        </w:rPr>
        <w:t xml:space="preserve">   </w:t>
      </w:r>
      <w:r w:rsidR="007C16BF" w:rsidRPr="00F73219">
        <w:rPr>
          <w:b/>
        </w:rPr>
        <w:t xml:space="preserve">   </w:t>
      </w:r>
    </w:p>
    <w:p w14:paraId="4794020D" w14:textId="141F7D6C" w:rsidR="00223491" w:rsidRDefault="003864F6" w:rsidP="008838DB">
      <w:pPr>
        <w:spacing w:after="120"/>
        <w:ind w:firstLine="720"/>
        <w:rPr>
          <w:b/>
        </w:rPr>
      </w:pPr>
      <w:r w:rsidRPr="00F73219">
        <w:rPr>
          <w:b/>
        </w:rPr>
        <w:t>Secțiunea</w:t>
      </w:r>
      <w:r w:rsidR="00670C79" w:rsidRPr="00F73219">
        <w:rPr>
          <w:b/>
        </w:rPr>
        <w:t xml:space="preserve"> a 3-a </w:t>
      </w:r>
    </w:p>
    <w:p w14:paraId="4E4A7A8E" w14:textId="485C7CAC" w:rsidR="00670C79" w:rsidRPr="00F73219" w:rsidRDefault="00670C79" w:rsidP="008838DB">
      <w:pPr>
        <w:spacing w:after="120"/>
        <w:ind w:firstLine="720"/>
        <w:rPr>
          <w:b/>
        </w:rPr>
      </w:pPr>
      <w:r w:rsidRPr="00F73219">
        <w:rPr>
          <w:b/>
        </w:rPr>
        <w:t xml:space="preserve">Impactul socioeconomic </w:t>
      </w:r>
      <w:r w:rsidR="0064777F">
        <w:rPr>
          <w:b/>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72189" w:rsidRPr="00F73219" w14:paraId="4F7B7B5A" w14:textId="77777777" w:rsidTr="005144FA">
        <w:tc>
          <w:tcPr>
            <w:tcW w:w="10533" w:type="dxa"/>
          </w:tcPr>
          <w:p w14:paraId="612A275C" w14:textId="77777777" w:rsidR="00F72189" w:rsidRPr="00F72189" w:rsidRDefault="00F72189" w:rsidP="008838DB">
            <w:pPr>
              <w:spacing w:after="120"/>
              <w:jc w:val="both"/>
              <w:rPr>
                <w:b/>
              </w:rPr>
            </w:pPr>
            <w:r w:rsidRPr="00F72189">
              <w:rPr>
                <w:b/>
              </w:rPr>
              <w:t>3.1 Descrierea generală a beneficiilor și costurilor estimate ca urmare a intrării în vigoare a actului normativ</w:t>
            </w:r>
          </w:p>
          <w:p w14:paraId="0675353F" w14:textId="77777777" w:rsidR="00F72189" w:rsidRPr="00F72189" w:rsidRDefault="00F72189" w:rsidP="008838DB">
            <w:pPr>
              <w:spacing w:after="120"/>
              <w:jc w:val="both"/>
              <w:rPr>
                <w:b/>
              </w:rPr>
            </w:pPr>
            <w:r w:rsidRPr="00F72189">
              <w:rPr>
                <w:b/>
              </w:rPr>
              <w:t>3.2 Impactul social</w:t>
            </w:r>
          </w:p>
          <w:p w14:paraId="2A7AAB85" w14:textId="77777777" w:rsidR="00875DF2" w:rsidRDefault="00875DF2" w:rsidP="008838DB">
            <w:pPr>
              <w:spacing w:after="120"/>
              <w:jc w:val="both"/>
            </w:pPr>
            <w:r w:rsidRPr="003F6FB9">
              <w:t>Prezentul act normativ nu se referă la acest subiect.</w:t>
            </w:r>
          </w:p>
          <w:p w14:paraId="71A3E7CB" w14:textId="16EF34A0" w:rsidR="00F72189" w:rsidRDefault="00F72189" w:rsidP="008838DB">
            <w:pPr>
              <w:spacing w:after="120"/>
              <w:jc w:val="both"/>
              <w:rPr>
                <w:b/>
              </w:rPr>
            </w:pPr>
            <w:r w:rsidRPr="00F72189">
              <w:rPr>
                <w:b/>
              </w:rPr>
              <w:t xml:space="preserve">3.3. Impactul asupra drepturilor și libertăților fundamentale ale omului </w:t>
            </w:r>
            <w:r w:rsidR="00880A39">
              <w:rPr>
                <w:b/>
              </w:rPr>
              <w:t>-</w:t>
            </w:r>
          </w:p>
          <w:p w14:paraId="139B6ECC" w14:textId="4CF6319F" w:rsidR="00FB45DC" w:rsidRPr="00F72189" w:rsidRDefault="00FD3526" w:rsidP="008838DB">
            <w:pPr>
              <w:spacing w:after="120"/>
              <w:jc w:val="both"/>
              <w:rPr>
                <w:b/>
              </w:rPr>
            </w:pPr>
            <w:r>
              <w:rPr>
                <w:b/>
              </w:rPr>
              <w:t>3.4. Impactul macroeconomic</w:t>
            </w:r>
          </w:p>
          <w:p w14:paraId="164EC38B" w14:textId="4863D9E5" w:rsidR="00F72189" w:rsidRPr="00F72189" w:rsidRDefault="00F72189" w:rsidP="008838DB">
            <w:pPr>
              <w:spacing w:after="120"/>
              <w:jc w:val="both"/>
              <w:rPr>
                <w:b/>
              </w:rPr>
            </w:pPr>
            <w:r w:rsidRPr="00F72189">
              <w:rPr>
                <w:b/>
              </w:rPr>
              <w:t>3.</w:t>
            </w:r>
            <w:r w:rsidR="00FD3526">
              <w:rPr>
                <w:b/>
              </w:rPr>
              <w:t>4</w:t>
            </w:r>
            <w:r w:rsidRPr="00F72189">
              <w:rPr>
                <w:b/>
              </w:rPr>
              <w:t xml:space="preserve">.1 Impactul asupra </w:t>
            </w:r>
            <w:r w:rsidR="00FD3526">
              <w:rPr>
                <w:b/>
              </w:rPr>
              <w:t xml:space="preserve">economiei și asupra </w:t>
            </w:r>
            <w:r w:rsidRPr="00F72189">
              <w:rPr>
                <w:b/>
              </w:rPr>
              <w:t>principalilor indicatori macroeconomici</w:t>
            </w:r>
          </w:p>
          <w:p w14:paraId="647C3284" w14:textId="2AD32893" w:rsidR="00880A39" w:rsidRDefault="00880A39" w:rsidP="00880A39">
            <w:pPr>
              <w:spacing w:after="120"/>
              <w:jc w:val="both"/>
            </w:pPr>
            <w:r w:rsidRPr="003F6FB9">
              <w:t>Prezentul act normativ nu se referă la acest subiect.</w:t>
            </w:r>
          </w:p>
          <w:p w14:paraId="18C98DD5" w14:textId="0BAADE4E" w:rsidR="00F72189" w:rsidRPr="00F72189" w:rsidRDefault="00F72189" w:rsidP="008838DB">
            <w:pPr>
              <w:spacing w:after="120"/>
              <w:jc w:val="both"/>
              <w:rPr>
                <w:b/>
              </w:rPr>
            </w:pPr>
            <w:r w:rsidRPr="00F72189">
              <w:rPr>
                <w:b/>
              </w:rPr>
              <w:t>3.</w:t>
            </w:r>
            <w:r w:rsidR="00FD3526">
              <w:rPr>
                <w:b/>
              </w:rPr>
              <w:t>4</w:t>
            </w:r>
            <w:r w:rsidRPr="00F72189">
              <w:rPr>
                <w:b/>
              </w:rPr>
              <w:t>.2 Impactul asupra mediului concurențial si domeniul</w:t>
            </w:r>
            <w:r w:rsidR="00FB45DC">
              <w:rPr>
                <w:b/>
              </w:rPr>
              <w:t>ui</w:t>
            </w:r>
            <w:r w:rsidRPr="00F72189">
              <w:rPr>
                <w:b/>
              </w:rPr>
              <w:t xml:space="preserve"> ajutoarelor de stat</w:t>
            </w:r>
          </w:p>
          <w:p w14:paraId="51B73509" w14:textId="0ADF1D53" w:rsidR="007578D3" w:rsidRDefault="007578D3" w:rsidP="008838DB">
            <w:pPr>
              <w:spacing w:after="120"/>
              <w:jc w:val="both"/>
            </w:pPr>
            <w:r w:rsidRPr="003F6FB9">
              <w:t>Prezentul act normativ nu se referă la acest subiect.</w:t>
            </w:r>
          </w:p>
          <w:p w14:paraId="5D645A5F" w14:textId="6CB75EA8" w:rsidR="00F72189" w:rsidRPr="00F72189" w:rsidRDefault="00F72189" w:rsidP="008838DB">
            <w:pPr>
              <w:spacing w:after="120"/>
              <w:jc w:val="both"/>
              <w:rPr>
                <w:b/>
              </w:rPr>
            </w:pPr>
            <w:r w:rsidRPr="00F72189">
              <w:rPr>
                <w:b/>
              </w:rPr>
              <w:t>3.</w:t>
            </w:r>
            <w:r w:rsidR="00FD3526">
              <w:rPr>
                <w:b/>
              </w:rPr>
              <w:t>5</w:t>
            </w:r>
            <w:r w:rsidRPr="00F72189">
              <w:rPr>
                <w:b/>
              </w:rPr>
              <w:t>. Impactul asupra mediului de afaceri</w:t>
            </w:r>
          </w:p>
          <w:p w14:paraId="4BB1A700" w14:textId="77777777" w:rsidR="007578D3" w:rsidRDefault="007578D3" w:rsidP="008838DB">
            <w:pPr>
              <w:spacing w:after="120"/>
              <w:jc w:val="both"/>
            </w:pPr>
            <w:r w:rsidRPr="003F6FB9">
              <w:t>Prezentul act normativ nu se referă la acest subiect.</w:t>
            </w:r>
          </w:p>
          <w:p w14:paraId="6BA44179" w14:textId="1333F7AF" w:rsidR="00FD3526" w:rsidRDefault="00FD3526" w:rsidP="008838DB">
            <w:pPr>
              <w:spacing w:after="120"/>
              <w:jc w:val="both"/>
              <w:rPr>
                <w:b/>
              </w:rPr>
            </w:pPr>
            <w:r w:rsidRPr="00FD3526">
              <w:rPr>
                <w:b/>
              </w:rPr>
              <w:t>3.</w:t>
            </w:r>
            <w:r>
              <w:rPr>
                <w:b/>
              </w:rPr>
              <w:t>6</w:t>
            </w:r>
            <w:r w:rsidRPr="00FD3526">
              <w:rPr>
                <w:b/>
              </w:rPr>
              <w:t xml:space="preserve"> Impactul asupra mediului înconjurător</w:t>
            </w:r>
          </w:p>
          <w:p w14:paraId="07ADB60B" w14:textId="77777777" w:rsidR="007578D3" w:rsidRDefault="007578D3" w:rsidP="008838DB">
            <w:pPr>
              <w:spacing w:after="120"/>
              <w:jc w:val="both"/>
            </w:pPr>
            <w:r w:rsidRPr="003F6FB9">
              <w:t>Prezentul act normativ nu se referă la acest subiect.</w:t>
            </w:r>
          </w:p>
          <w:p w14:paraId="55CFDA7E" w14:textId="141DA202" w:rsidR="00FD3526" w:rsidRPr="00FD3526" w:rsidRDefault="00FD3526" w:rsidP="008838DB">
            <w:pPr>
              <w:spacing w:after="120"/>
              <w:jc w:val="both"/>
              <w:rPr>
                <w:b/>
                <w:bCs/>
              </w:rPr>
            </w:pPr>
            <w:r w:rsidRPr="00FD3526">
              <w:rPr>
                <w:b/>
                <w:bCs/>
              </w:rPr>
              <w:t>3.7. Evaluarea costurilor și beneficiilor din perspectiva inovării și digitalizării</w:t>
            </w:r>
            <w:r w:rsidR="00880A39">
              <w:rPr>
                <w:b/>
                <w:bCs/>
              </w:rPr>
              <w:t xml:space="preserve"> -</w:t>
            </w:r>
          </w:p>
          <w:p w14:paraId="3CFEFC6B" w14:textId="2A098463" w:rsidR="00FD3526" w:rsidRPr="00FD3526" w:rsidRDefault="00FD3526" w:rsidP="008838DB">
            <w:pPr>
              <w:spacing w:after="120"/>
              <w:jc w:val="both"/>
              <w:rPr>
                <w:b/>
                <w:bCs/>
              </w:rPr>
            </w:pPr>
            <w:r w:rsidRPr="00FD3526">
              <w:rPr>
                <w:b/>
                <w:bCs/>
              </w:rPr>
              <w:t>3.8 Evaluarea costurilor și beneficiilor din perspectiva dezvoltării durabile</w:t>
            </w:r>
            <w:r w:rsidR="00880A39">
              <w:rPr>
                <w:b/>
                <w:bCs/>
              </w:rPr>
              <w:t xml:space="preserve"> -</w:t>
            </w:r>
          </w:p>
          <w:p w14:paraId="31CF2271" w14:textId="00209344" w:rsidR="00FD3526" w:rsidRDefault="00FD3526" w:rsidP="008F7D4B">
            <w:pPr>
              <w:spacing w:after="120"/>
              <w:jc w:val="both"/>
              <w:rPr>
                <w:b/>
                <w:bCs/>
              </w:rPr>
            </w:pPr>
            <w:r w:rsidRPr="00FD3526">
              <w:rPr>
                <w:b/>
                <w:bCs/>
              </w:rPr>
              <w:t>3.9. Alte informații</w:t>
            </w:r>
          </w:p>
          <w:p w14:paraId="041FB550" w14:textId="72692822" w:rsidR="00587CCB" w:rsidRPr="00FD3526" w:rsidRDefault="00587CCB" w:rsidP="008F7D4B">
            <w:pPr>
              <w:spacing w:after="120"/>
              <w:jc w:val="both"/>
              <w:rPr>
                <w:b/>
                <w:bCs/>
              </w:rPr>
            </w:pPr>
            <w:r w:rsidRPr="003F6FB9">
              <w:t>Nu au fost identificate.</w:t>
            </w:r>
          </w:p>
        </w:tc>
      </w:tr>
    </w:tbl>
    <w:p w14:paraId="40C7093F" w14:textId="5C8B0A07" w:rsidR="0025682E" w:rsidRPr="00F73219" w:rsidRDefault="0025682E" w:rsidP="008838DB">
      <w:pPr>
        <w:spacing w:after="120"/>
        <w:ind w:left="180"/>
        <w:jc w:val="both"/>
        <w:rPr>
          <w:b/>
        </w:rPr>
      </w:pPr>
    </w:p>
    <w:p w14:paraId="362B9934" w14:textId="77777777" w:rsidR="00FB2E98" w:rsidRDefault="00FB2E98" w:rsidP="008838DB">
      <w:pPr>
        <w:spacing w:after="120"/>
        <w:ind w:firstLine="720"/>
        <w:jc w:val="both"/>
        <w:rPr>
          <w:b/>
        </w:rPr>
      </w:pPr>
    </w:p>
    <w:p w14:paraId="41A12FD7" w14:textId="77777777" w:rsidR="00FB2E98" w:rsidRDefault="00FB2E98" w:rsidP="008838DB">
      <w:pPr>
        <w:spacing w:after="120"/>
        <w:ind w:firstLine="720"/>
        <w:jc w:val="both"/>
        <w:rPr>
          <w:b/>
        </w:rPr>
      </w:pPr>
    </w:p>
    <w:p w14:paraId="20A2BC5C" w14:textId="34CAFC2D" w:rsidR="005A13C5" w:rsidRDefault="00670C79" w:rsidP="008838DB">
      <w:pPr>
        <w:spacing w:after="120"/>
        <w:ind w:firstLine="720"/>
        <w:jc w:val="both"/>
        <w:rPr>
          <w:b/>
        </w:rPr>
      </w:pPr>
      <w:r w:rsidRPr="00F73219">
        <w:rPr>
          <w:b/>
        </w:rPr>
        <w:lastRenderedPageBreak/>
        <w:t>Sec</w:t>
      </w:r>
      <w:r w:rsidR="008E1D00">
        <w:rPr>
          <w:b/>
        </w:rPr>
        <w:t>ț</w:t>
      </w:r>
      <w:r w:rsidRPr="00F73219">
        <w:rPr>
          <w:b/>
        </w:rPr>
        <w:t xml:space="preserve">iunea a 4-a </w:t>
      </w:r>
    </w:p>
    <w:p w14:paraId="34AED0C5" w14:textId="2DC67042" w:rsidR="00670C79" w:rsidRPr="00F73219" w:rsidRDefault="00670C79" w:rsidP="008838DB">
      <w:pPr>
        <w:spacing w:after="120"/>
        <w:ind w:firstLine="720"/>
        <w:jc w:val="both"/>
        <w:rPr>
          <w:b/>
        </w:rPr>
      </w:pPr>
      <w:r w:rsidRPr="00F73219">
        <w:rPr>
          <w:b/>
        </w:rPr>
        <w:t xml:space="preserve">Impactul financiar asupra bugetului </w:t>
      </w:r>
      <w:r w:rsidR="0064777F">
        <w:rPr>
          <w:b/>
        </w:rPr>
        <w:t>general</w:t>
      </w:r>
      <w:r w:rsidRPr="00F73219">
        <w:rPr>
          <w:b/>
        </w:rPr>
        <w:t xml:space="preserve"> consolidat atât pe termen scurt, pentru</w:t>
      </w:r>
      <w:r w:rsidR="00DB71DB" w:rsidRPr="00F73219">
        <w:rPr>
          <w:b/>
        </w:rPr>
        <w:t xml:space="preserve"> </w:t>
      </w:r>
      <w:r w:rsidRPr="00F73219">
        <w:rPr>
          <w:b/>
        </w:rPr>
        <w:t xml:space="preserve">anul curent, cât </w:t>
      </w:r>
      <w:r w:rsidR="008E1D00">
        <w:rPr>
          <w:b/>
        </w:rPr>
        <w:t>ș</w:t>
      </w:r>
      <w:r w:rsidRPr="00F73219">
        <w:rPr>
          <w:b/>
        </w:rPr>
        <w:t>i pe termen lung (pe 5 ani)</w:t>
      </w:r>
      <w:r w:rsidR="003034B1">
        <w:rPr>
          <w:b/>
        </w:rPr>
        <w:t>, inclusiv informații cu privire la cheltuieli și venituri</w:t>
      </w:r>
      <w:r w:rsidR="0064777F">
        <w:rPr>
          <w: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1"/>
        <w:gridCol w:w="1144"/>
        <w:gridCol w:w="1355"/>
        <w:gridCol w:w="1451"/>
        <w:gridCol w:w="1355"/>
        <w:gridCol w:w="1144"/>
        <w:gridCol w:w="1433"/>
      </w:tblGrid>
      <w:tr w:rsidR="009A76F9" w:rsidRPr="00F73219" w14:paraId="0C843357" w14:textId="77777777" w:rsidTr="005144FA">
        <w:tc>
          <w:tcPr>
            <w:tcW w:w="10533" w:type="dxa"/>
            <w:gridSpan w:val="7"/>
          </w:tcPr>
          <w:p w14:paraId="33061C9B" w14:textId="7824EB12" w:rsidR="009A76F9" w:rsidRPr="0072479B" w:rsidRDefault="009A76F9" w:rsidP="008838DB">
            <w:pPr>
              <w:pStyle w:val="ListParagraph"/>
              <w:numPr>
                <w:ilvl w:val="0"/>
                <w:numId w:val="13"/>
              </w:numPr>
              <w:spacing w:after="120"/>
              <w:jc w:val="right"/>
              <w:rPr>
                <w:rFonts w:ascii="Times New Roman" w:hAnsi="Times New Roman" w:cs="Times New Roman"/>
              </w:rPr>
            </w:pPr>
            <w:r w:rsidRPr="0072479B">
              <w:rPr>
                <w:rFonts w:ascii="Times New Roman" w:hAnsi="Times New Roman" w:cs="Times New Roman"/>
              </w:rPr>
              <w:t>În mii lei (RON)</w:t>
            </w:r>
          </w:p>
        </w:tc>
      </w:tr>
      <w:tr w:rsidR="00520BE3" w:rsidRPr="00F73219" w14:paraId="57D824B3" w14:textId="77777777" w:rsidTr="00B87236">
        <w:tc>
          <w:tcPr>
            <w:tcW w:w="2651" w:type="dxa"/>
          </w:tcPr>
          <w:p w14:paraId="318BEE35" w14:textId="77777777" w:rsidR="00670C79" w:rsidRPr="00F73219" w:rsidRDefault="00670C79" w:rsidP="008838DB">
            <w:pPr>
              <w:pStyle w:val="Heading2"/>
              <w:spacing w:after="120"/>
              <w:rPr>
                <w:sz w:val="24"/>
              </w:rPr>
            </w:pPr>
            <w:r w:rsidRPr="00F73219">
              <w:rPr>
                <w:sz w:val="24"/>
              </w:rPr>
              <w:t>Indicatori</w:t>
            </w:r>
          </w:p>
        </w:tc>
        <w:tc>
          <w:tcPr>
            <w:tcW w:w="1144" w:type="dxa"/>
          </w:tcPr>
          <w:p w14:paraId="603E3C85" w14:textId="129C77CD" w:rsidR="00670C79" w:rsidRPr="00F73219" w:rsidRDefault="00670C79" w:rsidP="008838DB">
            <w:pPr>
              <w:spacing w:after="120"/>
              <w:jc w:val="center"/>
            </w:pPr>
            <w:r w:rsidRPr="00F73219">
              <w:t>An</w:t>
            </w:r>
            <w:r w:rsidR="009A76F9">
              <w:t>ul</w:t>
            </w:r>
            <w:r w:rsidRPr="00F73219">
              <w:t xml:space="preserve"> curent</w:t>
            </w:r>
          </w:p>
        </w:tc>
        <w:tc>
          <w:tcPr>
            <w:tcW w:w="5305" w:type="dxa"/>
            <w:gridSpan w:val="4"/>
          </w:tcPr>
          <w:p w14:paraId="4EA4AF47" w14:textId="77777777" w:rsidR="00670C79" w:rsidRPr="00F73219" w:rsidRDefault="00670C79" w:rsidP="008838DB">
            <w:pPr>
              <w:spacing w:after="120"/>
              <w:jc w:val="center"/>
            </w:pPr>
            <w:r w:rsidRPr="00F73219">
              <w:t>Următorii 4 ani</w:t>
            </w:r>
          </w:p>
        </w:tc>
        <w:tc>
          <w:tcPr>
            <w:tcW w:w="1433" w:type="dxa"/>
          </w:tcPr>
          <w:p w14:paraId="1EE52564" w14:textId="74A4CFA0" w:rsidR="00670C79" w:rsidRPr="00F73219" w:rsidRDefault="00670C79" w:rsidP="008838DB">
            <w:pPr>
              <w:spacing w:after="120"/>
              <w:jc w:val="center"/>
            </w:pPr>
            <w:r w:rsidRPr="00F73219">
              <w:t xml:space="preserve">Media </w:t>
            </w:r>
            <w:r w:rsidR="009A76F9">
              <w:t>pe</w:t>
            </w:r>
            <w:r w:rsidRPr="00F73219">
              <w:t xml:space="preserve"> 5 ani</w:t>
            </w:r>
          </w:p>
        </w:tc>
      </w:tr>
      <w:tr w:rsidR="00520BE3" w:rsidRPr="00F73219" w14:paraId="31AEB740" w14:textId="77777777" w:rsidTr="00B87236">
        <w:tc>
          <w:tcPr>
            <w:tcW w:w="2651" w:type="dxa"/>
          </w:tcPr>
          <w:p w14:paraId="1A04C9C9" w14:textId="77777777" w:rsidR="00670C79" w:rsidRPr="00F73219" w:rsidRDefault="00670C79" w:rsidP="008838DB">
            <w:pPr>
              <w:spacing w:after="120"/>
              <w:jc w:val="center"/>
            </w:pPr>
            <w:r w:rsidRPr="00F73219">
              <w:t>1</w:t>
            </w:r>
          </w:p>
        </w:tc>
        <w:tc>
          <w:tcPr>
            <w:tcW w:w="1144" w:type="dxa"/>
            <w:vAlign w:val="center"/>
          </w:tcPr>
          <w:p w14:paraId="44BDE6EE" w14:textId="77777777" w:rsidR="00670C79" w:rsidRPr="00F73219" w:rsidRDefault="00670C79" w:rsidP="008838DB">
            <w:pPr>
              <w:spacing w:after="120"/>
              <w:jc w:val="center"/>
            </w:pPr>
            <w:r w:rsidRPr="00F73219">
              <w:t>2</w:t>
            </w:r>
          </w:p>
        </w:tc>
        <w:tc>
          <w:tcPr>
            <w:tcW w:w="1355" w:type="dxa"/>
            <w:vAlign w:val="center"/>
          </w:tcPr>
          <w:p w14:paraId="44511A2B" w14:textId="77777777" w:rsidR="00670C79" w:rsidRPr="00F73219" w:rsidRDefault="00670C79" w:rsidP="008838DB">
            <w:pPr>
              <w:spacing w:after="120"/>
              <w:jc w:val="center"/>
            </w:pPr>
            <w:r w:rsidRPr="00F73219">
              <w:t>3</w:t>
            </w:r>
          </w:p>
        </w:tc>
        <w:tc>
          <w:tcPr>
            <w:tcW w:w="1451" w:type="dxa"/>
            <w:vAlign w:val="center"/>
          </w:tcPr>
          <w:p w14:paraId="7665B810" w14:textId="77777777" w:rsidR="00670C79" w:rsidRPr="00F73219" w:rsidRDefault="00670C79" w:rsidP="008838DB">
            <w:pPr>
              <w:spacing w:after="120"/>
              <w:jc w:val="center"/>
            </w:pPr>
            <w:r w:rsidRPr="00F73219">
              <w:t>4</w:t>
            </w:r>
          </w:p>
        </w:tc>
        <w:tc>
          <w:tcPr>
            <w:tcW w:w="1355" w:type="dxa"/>
            <w:vAlign w:val="center"/>
          </w:tcPr>
          <w:p w14:paraId="375332DA" w14:textId="77777777" w:rsidR="00670C79" w:rsidRPr="00F73219" w:rsidRDefault="00670C79" w:rsidP="008838DB">
            <w:pPr>
              <w:spacing w:after="120"/>
              <w:jc w:val="center"/>
            </w:pPr>
            <w:r w:rsidRPr="00F73219">
              <w:t>5</w:t>
            </w:r>
          </w:p>
        </w:tc>
        <w:tc>
          <w:tcPr>
            <w:tcW w:w="1144" w:type="dxa"/>
            <w:vAlign w:val="center"/>
          </w:tcPr>
          <w:p w14:paraId="0DD2A48C" w14:textId="77777777" w:rsidR="00670C79" w:rsidRPr="00F73219" w:rsidRDefault="00670C79" w:rsidP="008838DB">
            <w:pPr>
              <w:spacing w:after="120"/>
              <w:jc w:val="center"/>
            </w:pPr>
            <w:r w:rsidRPr="00F73219">
              <w:t>6</w:t>
            </w:r>
          </w:p>
        </w:tc>
        <w:tc>
          <w:tcPr>
            <w:tcW w:w="1433" w:type="dxa"/>
            <w:vAlign w:val="center"/>
          </w:tcPr>
          <w:p w14:paraId="64FF500C" w14:textId="77777777" w:rsidR="00670C79" w:rsidRPr="00F73219" w:rsidRDefault="00670C79" w:rsidP="008838DB">
            <w:pPr>
              <w:spacing w:after="120"/>
              <w:jc w:val="center"/>
            </w:pPr>
            <w:r w:rsidRPr="00F73219">
              <w:t>7</w:t>
            </w:r>
          </w:p>
        </w:tc>
      </w:tr>
      <w:tr w:rsidR="00B87236" w:rsidRPr="009B381E" w14:paraId="24F374CE" w14:textId="77777777" w:rsidTr="00B87236">
        <w:tc>
          <w:tcPr>
            <w:tcW w:w="2651" w:type="dxa"/>
          </w:tcPr>
          <w:p w14:paraId="7075F3AB" w14:textId="3D2A3576" w:rsidR="00B87236" w:rsidRPr="00EF284D" w:rsidRDefault="00B87236" w:rsidP="00B87236">
            <w:pPr>
              <w:spacing w:after="120"/>
              <w:jc w:val="both"/>
              <w:rPr>
                <w:b/>
                <w:bCs/>
              </w:rPr>
            </w:pPr>
            <w:r w:rsidRPr="00EF284D">
              <w:rPr>
                <w:b/>
                <w:bCs/>
              </w:rPr>
              <w:t>4.1. Modificări ale veniturilor bugetare, plus/minus, din care:</w:t>
            </w:r>
          </w:p>
        </w:tc>
        <w:tc>
          <w:tcPr>
            <w:tcW w:w="1144" w:type="dxa"/>
          </w:tcPr>
          <w:p w14:paraId="7811CDB2" w14:textId="5623FE6A" w:rsidR="00B87236" w:rsidRPr="001858C8" w:rsidRDefault="00B87236" w:rsidP="00B87236">
            <w:pPr>
              <w:pStyle w:val="BodyText2"/>
              <w:spacing w:after="120"/>
              <w:rPr>
                <w:sz w:val="24"/>
              </w:rPr>
            </w:pPr>
          </w:p>
        </w:tc>
        <w:tc>
          <w:tcPr>
            <w:tcW w:w="1355" w:type="dxa"/>
          </w:tcPr>
          <w:p w14:paraId="5E0D1921" w14:textId="76C7480C" w:rsidR="00B87236" w:rsidRPr="001858C8" w:rsidRDefault="00B87236" w:rsidP="00B87236">
            <w:pPr>
              <w:pStyle w:val="BodyText2"/>
              <w:spacing w:after="120"/>
              <w:rPr>
                <w:sz w:val="24"/>
              </w:rPr>
            </w:pPr>
          </w:p>
        </w:tc>
        <w:tc>
          <w:tcPr>
            <w:tcW w:w="1451" w:type="dxa"/>
          </w:tcPr>
          <w:p w14:paraId="3789DD62" w14:textId="0D46F8E6" w:rsidR="00B87236" w:rsidRPr="001858C8" w:rsidRDefault="00B87236" w:rsidP="00B87236">
            <w:pPr>
              <w:pStyle w:val="BodyText2"/>
              <w:spacing w:after="120"/>
              <w:rPr>
                <w:sz w:val="24"/>
              </w:rPr>
            </w:pPr>
          </w:p>
        </w:tc>
        <w:tc>
          <w:tcPr>
            <w:tcW w:w="1355" w:type="dxa"/>
          </w:tcPr>
          <w:p w14:paraId="3EFEBCA3" w14:textId="009272B3" w:rsidR="00B87236" w:rsidRPr="001858C8" w:rsidRDefault="00B87236" w:rsidP="00B87236">
            <w:pPr>
              <w:pStyle w:val="BodyText2"/>
              <w:spacing w:after="120"/>
              <w:rPr>
                <w:sz w:val="24"/>
              </w:rPr>
            </w:pPr>
          </w:p>
        </w:tc>
        <w:tc>
          <w:tcPr>
            <w:tcW w:w="1144" w:type="dxa"/>
          </w:tcPr>
          <w:p w14:paraId="4D97905B" w14:textId="328056E6" w:rsidR="00B87236" w:rsidRPr="001858C8" w:rsidRDefault="00B87236" w:rsidP="00B87236">
            <w:pPr>
              <w:pStyle w:val="BodyText2"/>
              <w:spacing w:after="120"/>
              <w:rPr>
                <w:sz w:val="24"/>
              </w:rPr>
            </w:pPr>
          </w:p>
        </w:tc>
        <w:tc>
          <w:tcPr>
            <w:tcW w:w="1433" w:type="dxa"/>
          </w:tcPr>
          <w:p w14:paraId="4A89D66A" w14:textId="48C7C293" w:rsidR="00B87236" w:rsidRPr="001858C8" w:rsidRDefault="00B87236" w:rsidP="00B87236">
            <w:pPr>
              <w:pStyle w:val="BodyText2"/>
              <w:spacing w:after="120"/>
              <w:rPr>
                <w:sz w:val="24"/>
              </w:rPr>
            </w:pPr>
          </w:p>
        </w:tc>
      </w:tr>
      <w:tr w:rsidR="00B87236" w:rsidRPr="009B381E" w14:paraId="7E845381" w14:textId="77777777" w:rsidTr="00B87236">
        <w:tc>
          <w:tcPr>
            <w:tcW w:w="2651" w:type="dxa"/>
          </w:tcPr>
          <w:p w14:paraId="25792053" w14:textId="77777777" w:rsidR="00B87236" w:rsidRPr="003A367D" w:rsidRDefault="00B87236" w:rsidP="00B87236">
            <w:pPr>
              <w:spacing w:after="120"/>
              <w:jc w:val="both"/>
            </w:pPr>
            <w:r w:rsidRPr="003A367D">
              <w:t>a) bugetul de stat, din acesta:</w:t>
            </w:r>
          </w:p>
          <w:p w14:paraId="32D9DBFB" w14:textId="15A036BA" w:rsidR="00B87236" w:rsidRPr="003A367D" w:rsidRDefault="00B87236" w:rsidP="00B87236">
            <w:pPr>
              <w:spacing w:after="120"/>
              <w:jc w:val="both"/>
            </w:pPr>
            <w:r>
              <w:t xml:space="preserve">(i) </w:t>
            </w:r>
            <w:r w:rsidRPr="003A367D">
              <w:t>impozit pe profit</w:t>
            </w:r>
          </w:p>
          <w:p w14:paraId="67C4E169" w14:textId="0BD99910" w:rsidR="00B87236" w:rsidRPr="00F73219" w:rsidRDefault="00B87236" w:rsidP="00B87236">
            <w:pPr>
              <w:spacing w:after="120"/>
              <w:jc w:val="both"/>
            </w:pPr>
            <w:r>
              <w:t xml:space="preserve">(ii) </w:t>
            </w:r>
            <w:r w:rsidRPr="003A367D">
              <w:t>impozit pe venit</w:t>
            </w:r>
          </w:p>
        </w:tc>
        <w:tc>
          <w:tcPr>
            <w:tcW w:w="1144" w:type="dxa"/>
          </w:tcPr>
          <w:p w14:paraId="07086A97" w14:textId="2EE36D05" w:rsidR="00B87236" w:rsidRPr="001858C8" w:rsidRDefault="00B87236" w:rsidP="00B87236">
            <w:pPr>
              <w:pStyle w:val="BodyText2"/>
              <w:spacing w:after="120"/>
              <w:rPr>
                <w:sz w:val="24"/>
              </w:rPr>
            </w:pPr>
          </w:p>
        </w:tc>
        <w:tc>
          <w:tcPr>
            <w:tcW w:w="1355" w:type="dxa"/>
          </w:tcPr>
          <w:p w14:paraId="68EDD67B" w14:textId="089A9F71" w:rsidR="00B87236" w:rsidRPr="001858C8" w:rsidRDefault="00B87236" w:rsidP="00B87236">
            <w:pPr>
              <w:pStyle w:val="BodyText2"/>
              <w:spacing w:after="120"/>
              <w:rPr>
                <w:sz w:val="24"/>
              </w:rPr>
            </w:pPr>
          </w:p>
        </w:tc>
        <w:tc>
          <w:tcPr>
            <w:tcW w:w="1451" w:type="dxa"/>
          </w:tcPr>
          <w:p w14:paraId="074A0C4C" w14:textId="71A601A9" w:rsidR="00B87236" w:rsidRPr="001858C8" w:rsidRDefault="00B87236" w:rsidP="00B87236">
            <w:pPr>
              <w:pStyle w:val="BodyText2"/>
              <w:spacing w:after="120"/>
              <w:rPr>
                <w:sz w:val="24"/>
              </w:rPr>
            </w:pPr>
          </w:p>
        </w:tc>
        <w:tc>
          <w:tcPr>
            <w:tcW w:w="1355" w:type="dxa"/>
          </w:tcPr>
          <w:p w14:paraId="3EC66A65" w14:textId="05BE53EB" w:rsidR="00B87236" w:rsidRPr="001858C8" w:rsidRDefault="00B87236" w:rsidP="00B87236">
            <w:pPr>
              <w:pStyle w:val="BodyText2"/>
              <w:spacing w:after="120"/>
              <w:rPr>
                <w:sz w:val="24"/>
              </w:rPr>
            </w:pPr>
          </w:p>
        </w:tc>
        <w:tc>
          <w:tcPr>
            <w:tcW w:w="1144" w:type="dxa"/>
          </w:tcPr>
          <w:p w14:paraId="5CEC73AA" w14:textId="703D965D" w:rsidR="00B87236" w:rsidRPr="001858C8" w:rsidRDefault="00B87236" w:rsidP="00B87236">
            <w:pPr>
              <w:pStyle w:val="BodyText2"/>
              <w:spacing w:after="120"/>
              <w:rPr>
                <w:sz w:val="24"/>
              </w:rPr>
            </w:pPr>
          </w:p>
        </w:tc>
        <w:tc>
          <w:tcPr>
            <w:tcW w:w="1433" w:type="dxa"/>
          </w:tcPr>
          <w:p w14:paraId="761E2BD4" w14:textId="3DE40917" w:rsidR="00B87236" w:rsidRPr="001858C8" w:rsidRDefault="00B87236" w:rsidP="00B87236">
            <w:pPr>
              <w:pStyle w:val="BodyText2"/>
              <w:spacing w:after="120"/>
              <w:rPr>
                <w:sz w:val="24"/>
              </w:rPr>
            </w:pPr>
          </w:p>
        </w:tc>
      </w:tr>
      <w:tr w:rsidR="00B87236" w:rsidRPr="009B381E" w14:paraId="6771B99C" w14:textId="77777777" w:rsidTr="00B87236">
        <w:tc>
          <w:tcPr>
            <w:tcW w:w="2651" w:type="dxa"/>
          </w:tcPr>
          <w:p w14:paraId="6A8A0E7F" w14:textId="577483D3" w:rsidR="00B87236" w:rsidRPr="003A367D" w:rsidRDefault="00B87236" w:rsidP="00B87236">
            <w:pPr>
              <w:spacing w:after="120"/>
              <w:jc w:val="both"/>
            </w:pPr>
            <w:r w:rsidRPr="003A367D">
              <w:t>b)</w:t>
            </w:r>
            <w:r>
              <w:t xml:space="preserve"> </w:t>
            </w:r>
            <w:r w:rsidRPr="003A367D">
              <w:t>bugete locale:</w:t>
            </w:r>
          </w:p>
          <w:p w14:paraId="3B0FCECB" w14:textId="7AB36B1B" w:rsidR="00B87236" w:rsidRPr="00F73219" w:rsidRDefault="00B87236" w:rsidP="00B87236">
            <w:pPr>
              <w:spacing w:after="120"/>
              <w:jc w:val="both"/>
            </w:pPr>
            <w:r>
              <w:t xml:space="preserve">(i) </w:t>
            </w:r>
            <w:r w:rsidRPr="003A367D">
              <w:t>impozit pe profit</w:t>
            </w:r>
          </w:p>
        </w:tc>
        <w:tc>
          <w:tcPr>
            <w:tcW w:w="1144" w:type="dxa"/>
          </w:tcPr>
          <w:p w14:paraId="687D0BEC" w14:textId="48CE9199" w:rsidR="00B87236" w:rsidRPr="001858C8" w:rsidRDefault="00B87236" w:rsidP="00B87236">
            <w:pPr>
              <w:pStyle w:val="BodyText2"/>
              <w:spacing w:after="120"/>
              <w:rPr>
                <w:sz w:val="24"/>
              </w:rPr>
            </w:pPr>
            <w:r w:rsidRPr="001858C8">
              <w:rPr>
                <w:sz w:val="24"/>
              </w:rPr>
              <w:t>-</w:t>
            </w:r>
          </w:p>
        </w:tc>
        <w:tc>
          <w:tcPr>
            <w:tcW w:w="1355" w:type="dxa"/>
          </w:tcPr>
          <w:p w14:paraId="203F5632" w14:textId="37B47DDD" w:rsidR="00B87236" w:rsidRPr="001858C8" w:rsidRDefault="00B87236" w:rsidP="00B87236">
            <w:pPr>
              <w:pStyle w:val="BodyText2"/>
              <w:spacing w:after="120"/>
              <w:rPr>
                <w:sz w:val="24"/>
              </w:rPr>
            </w:pPr>
            <w:r w:rsidRPr="001858C8">
              <w:rPr>
                <w:sz w:val="24"/>
              </w:rPr>
              <w:t>-</w:t>
            </w:r>
          </w:p>
        </w:tc>
        <w:tc>
          <w:tcPr>
            <w:tcW w:w="1451" w:type="dxa"/>
          </w:tcPr>
          <w:p w14:paraId="38DA8080" w14:textId="224D549D" w:rsidR="00B87236" w:rsidRPr="001858C8" w:rsidRDefault="00B87236" w:rsidP="00B87236">
            <w:pPr>
              <w:pStyle w:val="BodyText2"/>
              <w:spacing w:after="120"/>
              <w:rPr>
                <w:sz w:val="24"/>
              </w:rPr>
            </w:pPr>
            <w:r w:rsidRPr="001858C8">
              <w:rPr>
                <w:sz w:val="24"/>
              </w:rPr>
              <w:t>-</w:t>
            </w:r>
          </w:p>
        </w:tc>
        <w:tc>
          <w:tcPr>
            <w:tcW w:w="1355" w:type="dxa"/>
          </w:tcPr>
          <w:p w14:paraId="31807B27" w14:textId="0BB3CFE6" w:rsidR="00B87236" w:rsidRPr="001858C8" w:rsidRDefault="00B87236" w:rsidP="00B87236">
            <w:pPr>
              <w:pStyle w:val="BodyText2"/>
              <w:spacing w:after="120"/>
              <w:rPr>
                <w:sz w:val="24"/>
              </w:rPr>
            </w:pPr>
            <w:r w:rsidRPr="001858C8">
              <w:rPr>
                <w:sz w:val="24"/>
              </w:rPr>
              <w:t>-</w:t>
            </w:r>
          </w:p>
        </w:tc>
        <w:tc>
          <w:tcPr>
            <w:tcW w:w="1144" w:type="dxa"/>
          </w:tcPr>
          <w:p w14:paraId="29015A0A" w14:textId="0C3B5B43" w:rsidR="00B87236" w:rsidRPr="001858C8" w:rsidRDefault="00B87236" w:rsidP="00B87236">
            <w:pPr>
              <w:pStyle w:val="BodyText2"/>
              <w:spacing w:after="120"/>
              <w:rPr>
                <w:sz w:val="24"/>
              </w:rPr>
            </w:pPr>
            <w:r w:rsidRPr="001858C8">
              <w:rPr>
                <w:sz w:val="24"/>
              </w:rPr>
              <w:t>-</w:t>
            </w:r>
          </w:p>
        </w:tc>
        <w:tc>
          <w:tcPr>
            <w:tcW w:w="1433" w:type="dxa"/>
          </w:tcPr>
          <w:p w14:paraId="33E8076D" w14:textId="5C28CF5D" w:rsidR="00B87236" w:rsidRPr="001858C8" w:rsidRDefault="00B87236" w:rsidP="00B87236">
            <w:pPr>
              <w:pStyle w:val="BodyText2"/>
              <w:spacing w:after="120"/>
              <w:rPr>
                <w:sz w:val="24"/>
              </w:rPr>
            </w:pPr>
            <w:r w:rsidRPr="001858C8">
              <w:rPr>
                <w:sz w:val="24"/>
              </w:rPr>
              <w:t>-</w:t>
            </w:r>
          </w:p>
        </w:tc>
      </w:tr>
      <w:tr w:rsidR="00B87236" w:rsidRPr="009B381E" w14:paraId="3ECF4DE7" w14:textId="77777777" w:rsidTr="00B87236">
        <w:tc>
          <w:tcPr>
            <w:tcW w:w="2651" w:type="dxa"/>
          </w:tcPr>
          <w:p w14:paraId="454D76E8" w14:textId="401F8F98" w:rsidR="00B87236" w:rsidRPr="003A367D" w:rsidRDefault="00B87236" w:rsidP="00B87236">
            <w:pPr>
              <w:spacing w:after="120"/>
              <w:jc w:val="both"/>
            </w:pPr>
            <w:r w:rsidRPr="003A367D">
              <w:t>c)</w:t>
            </w:r>
            <w:r>
              <w:t xml:space="preserve"> </w:t>
            </w:r>
            <w:r w:rsidRPr="003A367D">
              <w:t>bugetul asigurărilor sociale</w:t>
            </w:r>
            <w:r>
              <w:t xml:space="preserve"> de stat</w:t>
            </w:r>
          </w:p>
          <w:p w14:paraId="551EFD10" w14:textId="0ACA8777" w:rsidR="00B87236" w:rsidRPr="003A367D" w:rsidRDefault="00B87236" w:rsidP="00B87236">
            <w:pPr>
              <w:spacing w:after="120"/>
              <w:jc w:val="both"/>
            </w:pPr>
            <w:r>
              <w:t xml:space="preserve">(i) </w:t>
            </w:r>
            <w:r w:rsidRPr="003A367D">
              <w:t>contribu</w:t>
            </w:r>
            <w:r w:rsidR="008E1D00">
              <w:t>ț</w:t>
            </w:r>
            <w:r w:rsidRPr="003A367D">
              <w:t>ii de asigurări</w:t>
            </w:r>
          </w:p>
        </w:tc>
        <w:tc>
          <w:tcPr>
            <w:tcW w:w="1144" w:type="dxa"/>
          </w:tcPr>
          <w:p w14:paraId="20DF36E4" w14:textId="24A7FB34" w:rsidR="00B87236" w:rsidRPr="001858C8" w:rsidRDefault="00B87236" w:rsidP="00B87236">
            <w:pPr>
              <w:pStyle w:val="BodyText2"/>
              <w:spacing w:after="120"/>
              <w:rPr>
                <w:sz w:val="24"/>
              </w:rPr>
            </w:pPr>
            <w:r w:rsidRPr="001858C8">
              <w:rPr>
                <w:sz w:val="24"/>
              </w:rPr>
              <w:t>-</w:t>
            </w:r>
          </w:p>
        </w:tc>
        <w:tc>
          <w:tcPr>
            <w:tcW w:w="1355" w:type="dxa"/>
          </w:tcPr>
          <w:p w14:paraId="2E4987C5" w14:textId="5B5CBA41" w:rsidR="00B87236" w:rsidRPr="001858C8" w:rsidRDefault="00B87236" w:rsidP="00B87236">
            <w:pPr>
              <w:pStyle w:val="BodyText2"/>
              <w:spacing w:after="120"/>
              <w:rPr>
                <w:sz w:val="24"/>
              </w:rPr>
            </w:pPr>
            <w:r w:rsidRPr="001858C8">
              <w:rPr>
                <w:sz w:val="24"/>
              </w:rPr>
              <w:t>-</w:t>
            </w:r>
          </w:p>
        </w:tc>
        <w:tc>
          <w:tcPr>
            <w:tcW w:w="1451" w:type="dxa"/>
          </w:tcPr>
          <w:p w14:paraId="55EA5A38" w14:textId="0F622A94" w:rsidR="00B87236" w:rsidRPr="001858C8" w:rsidRDefault="00B87236" w:rsidP="00B87236">
            <w:pPr>
              <w:pStyle w:val="BodyText2"/>
              <w:spacing w:after="120"/>
              <w:rPr>
                <w:sz w:val="24"/>
              </w:rPr>
            </w:pPr>
            <w:r w:rsidRPr="001858C8">
              <w:rPr>
                <w:sz w:val="24"/>
              </w:rPr>
              <w:t>-</w:t>
            </w:r>
          </w:p>
        </w:tc>
        <w:tc>
          <w:tcPr>
            <w:tcW w:w="1355" w:type="dxa"/>
          </w:tcPr>
          <w:p w14:paraId="1A940564" w14:textId="440836DF" w:rsidR="00B87236" w:rsidRPr="001858C8" w:rsidRDefault="00B87236" w:rsidP="00B87236">
            <w:pPr>
              <w:pStyle w:val="BodyText2"/>
              <w:spacing w:after="120"/>
              <w:rPr>
                <w:sz w:val="24"/>
              </w:rPr>
            </w:pPr>
            <w:r w:rsidRPr="001858C8">
              <w:rPr>
                <w:sz w:val="24"/>
              </w:rPr>
              <w:t>-</w:t>
            </w:r>
          </w:p>
        </w:tc>
        <w:tc>
          <w:tcPr>
            <w:tcW w:w="1144" w:type="dxa"/>
          </w:tcPr>
          <w:p w14:paraId="3B9F8826" w14:textId="0A2DF151" w:rsidR="00B87236" w:rsidRPr="001858C8" w:rsidRDefault="00B87236" w:rsidP="00B87236">
            <w:pPr>
              <w:pStyle w:val="BodyText2"/>
              <w:spacing w:after="120"/>
              <w:rPr>
                <w:sz w:val="24"/>
              </w:rPr>
            </w:pPr>
            <w:r w:rsidRPr="001858C8">
              <w:rPr>
                <w:sz w:val="24"/>
              </w:rPr>
              <w:t>-</w:t>
            </w:r>
          </w:p>
        </w:tc>
        <w:tc>
          <w:tcPr>
            <w:tcW w:w="1433" w:type="dxa"/>
          </w:tcPr>
          <w:p w14:paraId="7236E3D5" w14:textId="1F8F5DE9" w:rsidR="00B87236" w:rsidRPr="001858C8" w:rsidRDefault="00B87236" w:rsidP="00B87236">
            <w:pPr>
              <w:pStyle w:val="BodyText2"/>
              <w:spacing w:after="120"/>
              <w:rPr>
                <w:sz w:val="24"/>
              </w:rPr>
            </w:pPr>
            <w:r w:rsidRPr="001858C8">
              <w:rPr>
                <w:sz w:val="24"/>
              </w:rPr>
              <w:t>-</w:t>
            </w:r>
          </w:p>
        </w:tc>
      </w:tr>
      <w:tr w:rsidR="00B87236" w:rsidRPr="009B381E" w14:paraId="3B61ACE7" w14:textId="77777777" w:rsidTr="00B87236">
        <w:tc>
          <w:tcPr>
            <w:tcW w:w="2651" w:type="dxa"/>
          </w:tcPr>
          <w:p w14:paraId="62FD1E56" w14:textId="77777777" w:rsidR="00B87236" w:rsidRDefault="00B87236" w:rsidP="00B87236">
            <w:pPr>
              <w:spacing w:after="120"/>
              <w:jc w:val="both"/>
            </w:pPr>
            <w:r>
              <w:t>d) alte tipuri de venituri</w:t>
            </w:r>
          </w:p>
          <w:p w14:paraId="5EB8BD87" w14:textId="4527B335" w:rsidR="00B87236" w:rsidRPr="003A367D" w:rsidRDefault="00B87236" w:rsidP="00B87236">
            <w:pPr>
              <w:spacing w:after="120"/>
              <w:jc w:val="both"/>
            </w:pPr>
            <w:r>
              <w:t xml:space="preserve">(Se va menționa natura acestora.) </w:t>
            </w:r>
          </w:p>
        </w:tc>
        <w:tc>
          <w:tcPr>
            <w:tcW w:w="1144" w:type="dxa"/>
          </w:tcPr>
          <w:p w14:paraId="704BCA51" w14:textId="5A1270EF" w:rsidR="00B87236" w:rsidRPr="001858C8" w:rsidRDefault="00B87236" w:rsidP="00B87236">
            <w:pPr>
              <w:pStyle w:val="BodyText2"/>
              <w:spacing w:after="120"/>
              <w:rPr>
                <w:sz w:val="24"/>
              </w:rPr>
            </w:pPr>
            <w:r w:rsidRPr="001858C8">
              <w:rPr>
                <w:sz w:val="24"/>
              </w:rPr>
              <w:t>-</w:t>
            </w:r>
          </w:p>
        </w:tc>
        <w:tc>
          <w:tcPr>
            <w:tcW w:w="1355" w:type="dxa"/>
          </w:tcPr>
          <w:p w14:paraId="269D834F" w14:textId="108370FF" w:rsidR="00B87236" w:rsidRPr="001858C8" w:rsidRDefault="00B87236" w:rsidP="00B87236">
            <w:pPr>
              <w:pStyle w:val="BodyText2"/>
              <w:spacing w:after="120"/>
              <w:rPr>
                <w:sz w:val="24"/>
              </w:rPr>
            </w:pPr>
            <w:r w:rsidRPr="001858C8">
              <w:rPr>
                <w:sz w:val="24"/>
              </w:rPr>
              <w:t>-</w:t>
            </w:r>
          </w:p>
        </w:tc>
        <w:tc>
          <w:tcPr>
            <w:tcW w:w="1451" w:type="dxa"/>
          </w:tcPr>
          <w:p w14:paraId="03C3272C" w14:textId="1D9296E5" w:rsidR="00B87236" w:rsidRPr="001858C8" w:rsidRDefault="00B87236" w:rsidP="00B87236">
            <w:pPr>
              <w:pStyle w:val="BodyText2"/>
              <w:spacing w:after="120"/>
              <w:rPr>
                <w:sz w:val="24"/>
              </w:rPr>
            </w:pPr>
            <w:r w:rsidRPr="001858C8">
              <w:rPr>
                <w:sz w:val="24"/>
              </w:rPr>
              <w:t>-</w:t>
            </w:r>
          </w:p>
        </w:tc>
        <w:tc>
          <w:tcPr>
            <w:tcW w:w="1355" w:type="dxa"/>
          </w:tcPr>
          <w:p w14:paraId="70C282AC" w14:textId="1BB381C5" w:rsidR="00B87236" w:rsidRPr="001858C8" w:rsidRDefault="00B87236" w:rsidP="00B87236">
            <w:pPr>
              <w:pStyle w:val="BodyText2"/>
              <w:spacing w:after="120"/>
              <w:rPr>
                <w:sz w:val="24"/>
              </w:rPr>
            </w:pPr>
            <w:r w:rsidRPr="001858C8">
              <w:rPr>
                <w:sz w:val="24"/>
              </w:rPr>
              <w:t>-</w:t>
            </w:r>
          </w:p>
        </w:tc>
        <w:tc>
          <w:tcPr>
            <w:tcW w:w="1144" w:type="dxa"/>
          </w:tcPr>
          <w:p w14:paraId="711BE975" w14:textId="50862D58" w:rsidR="00B87236" w:rsidRPr="001858C8" w:rsidRDefault="00B87236" w:rsidP="00B87236">
            <w:pPr>
              <w:pStyle w:val="BodyText2"/>
              <w:spacing w:after="120"/>
              <w:rPr>
                <w:sz w:val="24"/>
              </w:rPr>
            </w:pPr>
            <w:r w:rsidRPr="001858C8">
              <w:rPr>
                <w:sz w:val="24"/>
              </w:rPr>
              <w:t>-</w:t>
            </w:r>
          </w:p>
        </w:tc>
        <w:tc>
          <w:tcPr>
            <w:tcW w:w="1433" w:type="dxa"/>
          </w:tcPr>
          <w:p w14:paraId="56D819C6" w14:textId="46866D73" w:rsidR="00B87236" w:rsidRPr="001858C8" w:rsidRDefault="00B87236" w:rsidP="00B87236">
            <w:pPr>
              <w:pStyle w:val="BodyText2"/>
              <w:spacing w:after="120"/>
              <w:rPr>
                <w:sz w:val="24"/>
              </w:rPr>
            </w:pPr>
            <w:r w:rsidRPr="001858C8">
              <w:rPr>
                <w:sz w:val="24"/>
              </w:rPr>
              <w:t>-</w:t>
            </w:r>
          </w:p>
        </w:tc>
      </w:tr>
      <w:tr w:rsidR="00B87236" w:rsidRPr="009B381E" w14:paraId="126F1061" w14:textId="77777777" w:rsidTr="00B87236">
        <w:tc>
          <w:tcPr>
            <w:tcW w:w="2651" w:type="dxa"/>
          </w:tcPr>
          <w:p w14:paraId="1415B230" w14:textId="72A3E85F" w:rsidR="00B87236" w:rsidRPr="00EF284D" w:rsidRDefault="00B87236" w:rsidP="00B87236">
            <w:pPr>
              <w:spacing w:after="120"/>
              <w:jc w:val="both"/>
              <w:rPr>
                <w:b/>
                <w:bCs/>
              </w:rPr>
            </w:pPr>
            <w:r w:rsidRPr="00EF284D">
              <w:rPr>
                <w:b/>
                <w:bCs/>
              </w:rPr>
              <w:t>4.2. Modificări ale cheltuielilor bugetare</w:t>
            </w:r>
            <w:r>
              <w:rPr>
                <w:b/>
                <w:bCs/>
              </w:rPr>
              <w:t>, plus/minus,</w:t>
            </w:r>
            <w:r w:rsidRPr="00EF284D">
              <w:rPr>
                <w:b/>
                <w:bCs/>
              </w:rPr>
              <w:t xml:space="preserve"> din care:</w:t>
            </w:r>
          </w:p>
        </w:tc>
        <w:tc>
          <w:tcPr>
            <w:tcW w:w="1144" w:type="dxa"/>
          </w:tcPr>
          <w:p w14:paraId="7BB1C451" w14:textId="69C3B1DF" w:rsidR="00B87236" w:rsidRPr="001858C8" w:rsidRDefault="00B87236" w:rsidP="00B87236">
            <w:pPr>
              <w:spacing w:after="120"/>
              <w:jc w:val="center"/>
            </w:pPr>
          </w:p>
        </w:tc>
        <w:tc>
          <w:tcPr>
            <w:tcW w:w="1355" w:type="dxa"/>
          </w:tcPr>
          <w:p w14:paraId="44C5A3FF" w14:textId="552439A1" w:rsidR="00B87236" w:rsidRPr="001858C8" w:rsidRDefault="00B87236" w:rsidP="00B87236">
            <w:pPr>
              <w:spacing w:after="120"/>
              <w:jc w:val="center"/>
            </w:pPr>
          </w:p>
        </w:tc>
        <w:tc>
          <w:tcPr>
            <w:tcW w:w="1451" w:type="dxa"/>
          </w:tcPr>
          <w:p w14:paraId="1702DFD2" w14:textId="1907A3D1" w:rsidR="00B87236" w:rsidRPr="001858C8" w:rsidRDefault="00B87236" w:rsidP="00B87236">
            <w:pPr>
              <w:spacing w:after="120"/>
              <w:jc w:val="center"/>
            </w:pPr>
          </w:p>
        </w:tc>
        <w:tc>
          <w:tcPr>
            <w:tcW w:w="1355" w:type="dxa"/>
          </w:tcPr>
          <w:p w14:paraId="1D7B38D6" w14:textId="34040384" w:rsidR="00B87236" w:rsidRPr="001858C8" w:rsidRDefault="00B87236" w:rsidP="00B87236">
            <w:pPr>
              <w:spacing w:after="120"/>
              <w:jc w:val="center"/>
            </w:pPr>
          </w:p>
        </w:tc>
        <w:tc>
          <w:tcPr>
            <w:tcW w:w="1144" w:type="dxa"/>
          </w:tcPr>
          <w:p w14:paraId="09F7CD9E" w14:textId="7E8E4BEF" w:rsidR="00B87236" w:rsidRPr="001858C8" w:rsidRDefault="00B87236" w:rsidP="00B87236">
            <w:pPr>
              <w:spacing w:after="120"/>
              <w:jc w:val="center"/>
            </w:pPr>
          </w:p>
        </w:tc>
        <w:tc>
          <w:tcPr>
            <w:tcW w:w="1433" w:type="dxa"/>
          </w:tcPr>
          <w:p w14:paraId="16493B27" w14:textId="65DA30C8" w:rsidR="00B87236" w:rsidRPr="001858C8" w:rsidRDefault="00B87236" w:rsidP="00B87236">
            <w:pPr>
              <w:spacing w:after="120"/>
              <w:jc w:val="center"/>
            </w:pPr>
          </w:p>
        </w:tc>
      </w:tr>
      <w:tr w:rsidR="00040C9A" w:rsidRPr="009B381E" w14:paraId="408E6817" w14:textId="77777777" w:rsidTr="00B87236">
        <w:tc>
          <w:tcPr>
            <w:tcW w:w="2651" w:type="dxa"/>
          </w:tcPr>
          <w:p w14:paraId="2D265B20" w14:textId="19563007" w:rsidR="00040C9A" w:rsidRPr="00CD28D5" w:rsidRDefault="00040C9A" w:rsidP="00040C9A">
            <w:pPr>
              <w:spacing w:after="120"/>
              <w:jc w:val="both"/>
            </w:pPr>
            <w:r w:rsidRPr="00CD28D5">
              <w:t>a)</w:t>
            </w:r>
            <w:r>
              <w:t xml:space="preserve"> </w:t>
            </w:r>
            <w:r w:rsidRPr="00CD28D5">
              <w:t>buget de stat, din acesta:</w:t>
            </w:r>
          </w:p>
          <w:p w14:paraId="3382ADB9" w14:textId="31517959" w:rsidR="00040C9A" w:rsidRPr="00CD28D5" w:rsidRDefault="00040C9A" w:rsidP="00040C9A">
            <w:pPr>
              <w:spacing w:after="120"/>
              <w:jc w:val="both"/>
            </w:pPr>
            <w:r>
              <w:t xml:space="preserve">(i) </w:t>
            </w:r>
            <w:r w:rsidRPr="00CD28D5">
              <w:t>cheltuieli de personal</w:t>
            </w:r>
          </w:p>
          <w:p w14:paraId="223F451F" w14:textId="77777777" w:rsidR="00040C9A" w:rsidRDefault="00040C9A" w:rsidP="00040C9A">
            <w:pPr>
              <w:spacing w:after="120"/>
              <w:jc w:val="both"/>
            </w:pPr>
          </w:p>
          <w:p w14:paraId="2AF2C20C" w14:textId="59815917" w:rsidR="00040C9A" w:rsidRDefault="00040C9A" w:rsidP="00040C9A">
            <w:pPr>
              <w:spacing w:after="120"/>
              <w:jc w:val="both"/>
            </w:pPr>
            <w:r>
              <w:t xml:space="preserve">(ii) </w:t>
            </w:r>
            <w:r w:rsidRPr="00CD28D5">
              <w:t xml:space="preserve">bunuri </w:t>
            </w:r>
            <w:r w:rsidR="008E1D00">
              <w:t>ș</w:t>
            </w:r>
            <w:r w:rsidRPr="00CD28D5">
              <w:t>i servicii</w:t>
            </w:r>
          </w:p>
        </w:tc>
        <w:tc>
          <w:tcPr>
            <w:tcW w:w="1144" w:type="dxa"/>
          </w:tcPr>
          <w:p w14:paraId="3E0B1602" w14:textId="3A55C07B" w:rsidR="00040C9A" w:rsidRPr="001858C8" w:rsidRDefault="00040C9A" w:rsidP="00040C9A">
            <w:pPr>
              <w:spacing w:after="120"/>
              <w:jc w:val="center"/>
            </w:pPr>
          </w:p>
        </w:tc>
        <w:tc>
          <w:tcPr>
            <w:tcW w:w="1355" w:type="dxa"/>
          </w:tcPr>
          <w:p w14:paraId="4A5827CA" w14:textId="18F99855" w:rsidR="00040C9A" w:rsidRPr="001858C8" w:rsidRDefault="00040C9A" w:rsidP="00040C9A">
            <w:pPr>
              <w:spacing w:after="120"/>
              <w:jc w:val="center"/>
            </w:pPr>
          </w:p>
        </w:tc>
        <w:tc>
          <w:tcPr>
            <w:tcW w:w="1451" w:type="dxa"/>
          </w:tcPr>
          <w:p w14:paraId="32FB3ACA" w14:textId="0A7DD8FA" w:rsidR="00040C9A" w:rsidRPr="001858C8" w:rsidRDefault="00040C9A" w:rsidP="00040C9A">
            <w:pPr>
              <w:spacing w:after="120"/>
              <w:jc w:val="center"/>
            </w:pPr>
          </w:p>
        </w:tc>
        <w:tc>
          <w:tcPr>
            <w:tcW w:w="1355" w:type="dxa"/>
          </w:tcPr>
          <w:p w14:paraId="6B0B1905" w14:textId="2A57EF23" w:rsidR="00040C9A" w:rsidRPr="001858C8" w:rsidRDefault="00040C9A" w:rsidP="00040C9A">
            <w:pPr>
              <w:spacing w:after="120"/>
              <w:jc w:val="center"/>
            </w:pPr>
          </w:p>
        </w:tc>
        <w:tc>
          <w:tcPr>
            <w:tcW w:w="1144" w:type="dxa"/>
          </w:tcPr>
          <w:p w14:paraId="23CBB327" w14:textId="71F04A1B" w:rsidR="00040C9A" w:rsidRPr="001858C8" w:rsidRDefault="00040C9A" w:rsidP="00040C9A">
            <w:pPr>
              <w:spacing w:after="120"/>
              <w:jc w:val="center"/>
            </w:pPr>
          </w:p>
        </w:tc>
        <w:tc>
          <w:tcPr>
            <w:tcW w:w="1433" w:type="dxa"/>
          </w:tcPr>
          <w:p w14:paraId="58A4AD04" w14:textId="138BB6CB" w:rsidR="00040C9A" w:rsidRPr="001858C8" w:rsidRDefault="00040C9A" w:rsidP="00040C9A">
            <w:pPr>
              <w:spacing w:after="120"/>
              <w:jc w:val="center"/>
            </w:pPr>
          </w:p>
        </w:tc>
      </w:tr>
      <w:tr w:rsidR="00760101" w:rsidRPr="009B381E" w14:paraId="247EA305" w14:textId="77777777" w:rsidTr="00B87236">
        <w:tc>
          <w:tcPr>
            <w:tcW w:w="2651" w:type="dxa"/>
          </w:tcPr>
          <w:p w14:paraId="1413F8FD" w14:textId="15D4A2BF" w:rsidR="00760101" w:rsidRPr="00CD28D5" w:rsidRDefault="00760101" w:rsidP="00760101">
            <w:pPr>
              <w:spacing w:after="120"/>
              <w:jc w:val="both"/>
            </w:pPr>
            <w:r w:rsidRPr="00CD28D5">
              <w:t>b)</w:t>
            </w:r>
            <w:r>
              <w:t xml:space="preserve"> </w:t>
            </w:r>
            <w:r w:rsidRPr="00CD28D5">
              <w:t>bugete locale:</w:t>
            </w:r>
          </w:p>
          <w:p w14:paraId="5D43B430" w14:textId="0375DEBE" w:rsidR="00760101" w:rsidRPr="00CD28D5" w:rsidRDefault="00760101" w:rsidP="00760101">
            <w:pPr>
              <w:spacing w:after="120"/>
              <w:jc w:val="both"/>
            </w:pPr>
            <w:r>
              <w:t xml:space="preserve">(i) </w:t>
            </w:r>
            <w:r w:rsidRPr="00CD28D5">
              <w:t>cheltuieli de personal</w:t>
            </w:r>
          </w:p>
          <w:p w14:paraId="5FAAC7DC" w14:textId="542E930F" w:rsidR="00760101" w:rsidRPr="00CD28D5" w:rsidRDefault="00760101" w:rsidP="00760101">
            <w:pPr>
              <w:spacing w:after="120"/>
              <w:jc w:val="both"/>
            </w:pPr>
            <w:r>
              <w:t xml:space="preserve">(ii) </w:t>
            </w:r>
            <w:r w:rsidRPr="00CD28D5">
              <w:t xml:space="preserve">bunuri </w:t>
            </w:r>
            <w:r w:rsidR="008E1D00">
              <w:t>ș</w:t>
            </w:r>
            <w:r w:rsidRPr="00CD28D5">
              <w:t>i servicii</w:t>
            </w:r>
          </w:p>
        </w:tc>
        <w:tc>
          <w:tcPr>
            <w:tcW w:w="1144" w:type="dxa"/>
          </w:tcPr>
          <w:p w14:paraId="35C2339D" w14:textId="1EE7EEA7" w:rsidR="00760101" w:rsidRPr="001858C8" w:rsidRDefault="00760101" w:rsidP="00760101">
            <w:pPr>
              <w:spacing w:after="120"/>
              <w:jc w:val="center"/>
            </w:pPr>
          </w:p>
        </w:tc>
        <w:tc>
          <w:tcPr>
            <w:tcW w:w="1355" w:type="dxa"/>
          </w:tcPr>
          <w:p w14:paraId="7642EF10" w14:textId="5FCB8CDD" w:rsidR="00760101" w:rsidRPr="001858C8" w:rsidRDefault="00760101" w:rsidP="00760101">
            <w:pPr>
              <w:spacing w:after="120"/>
              <w:jc w:val="center"/>
            </w:pPr>
          </w:p>
        </w:tc>
        <w:tc>
          <w:tcPr>
            <w:tcW w:w="1451" w:type="dxa"/>
          </w:tcPr>
          <w:p w14:paraId="00DA41A3" w14:textId="4E2E42F5" w:rsidR="00760101" w:rsidRPr="001858C8" w:rsidRDefault="00760101" w:rsidP="00760101">
            <w:pPr>
              <w:spacing w:after="120"/>
              <w:jc w:val="center"/>
            </w:pPr>
          </w:p>
        </w:tc>
        <w:tc>
          <w:tcPr>
            <w:tcW w:w="1355" w:type="dxa"/>
          </w:tcPr>
          <w:p w14:paraId="5014B167" w14:textId="125E7EAC" w:rsidR="00760101" w:rsidRPr="001858C8" w:rsidRDefault="00760101" w:rsidP="00760101">
            <w:pPr>
              <w:spacing w:after="120"/>
              <w:jc w:val="center"/>
            </w:pPr>
          </w:p>
        </w:tc>
        <w:tc>
          <w:tcPr>
            <w:tcW w:w="1144" w:type="dxa"/>
          </w:tcPr>
          <w:p w14:paraId="44E6962F" w14:textId="77D71C1D" w:rsidR="00760101" w:rsidRPr="001858C8" w:rsidRDefault="00760101" w:rsidP="00760101">
            <w:pPr>
              <w:spacing w:after="120"/>
              <w:jc w:val="center"/>
            </w:pPr>
          </w:p>
        </w:tc>
        <w:tc>
          <w:tcPr>
            <w:tcW w:w="1433" w:type="dxa"/>
          </w:tcPr>
          <w:p w14:paraId="5D1C5F3E" w14:textId="06C61317" w:rsidR="00760101" w:rsidRPr="001858C8" w:rsidRDefault="00760101" w:rsidP="00760101">
            <w:pPr>
              <w:spacing w:after="120"/>
              <w:jc w:val="center"/>
            </w:pPr>
          </w:p>
        </w:tc>
      </w:tr>
      <w:tr w:rsidR="00760101" w:rsidRPr="009B381E" w14:paraId="64A76806" w14:textId="77777777" w:rsidTr="00B87236">
        <w:tc>
          <w:tcPr>
            <w:tcW w:w="2651" w:type="dxa"/>
          </w:tcPr>
          <w:p w14:paraId="30172BDF" w14:textId="0D2320D4" w:rsidR="00760101" w:rsidRPr="00CD13F8" w:rsidRDefault="00760101" w:rsidP="00760101">
            <w:pPr>
              <w:spacing w:after="120"/>
              <w:jc w:val="both"/>
            </w:pPr>
            <w:r w:rsidRPr="00CD13F8">
              <w:t>c)</w:t>
            </w:r>
            <w:r>
              <w:t xml:space="preserve"> </w:t>
            </w:r>
            <w:r w:rsidRPr="00CD13F8">
              <w:t>bugetul asigurărilor sociale</w:t>
            </w:r>
            <w:r>
              <w:t xml:space="preserve"> de stat:</w:t>
            </w:r>
          </w:p>
          <w:p w14:paraId="03FADADD" w14:textId="1EB62078" w:rsidR="00760101" w:rsidRPr="00CD13F8" w:rsidRDefault="00760101" w:rsidP="00760101">
            <w:pPr>
              <w:spacing w:after="120"/>
              <w:jc w:val="both"/>
            </w:pPr>
            <w:r>
              <w:t xml:space="preserve">(i) </w:t>
            </w:r>
            <w:r w:rsidRPr="00CD13F8">
              <w:t>cheltuieli de personal</w:t>
            </w:r>
          </w:p>
          <w:p w14:paraId="55656529" w14:textId="1B04B34F" w:rsidR="00760101" w:rsidRPr="00CD28D5" w:rsidRDefault="00760101" w:rsidP="00760101">
            <w:pPr>
              <w:spacing w:after="120"/>
              <w:jc w:val="both"/>
            </w:pPr>
            <w:r>
              <w:t xml:space="preserve">(ii) </w:t>
            </w:r>
            <w:r w:rsidRPr="00CD13F8">
              <w:t xml:space="preserve">bunuri </w:t>
            </w:r>
            <w:r w:rsidR="008E1D00">
              <w:t>ș</w:t>
            </w:r>
            <w:r w:rsidRPr="00CD13F8">
              <w:t>i servicii</w:t>
            </w:r>
          </w:p>
        </w:tc>
        <w:tc>
          <w:tcPr>
            <w:tcW w:w="1144" w:type="dxa"/>
          </w:tcPr>
          <w:p w14:paraId="2DE6BAAD" w14:textId="742555EB" w:rsidR="00760101" w:rsidRPr="001858C8" w:rsidRDefault="00760101" w:rsidP="00760101">
            <w:pPr>
              <w:spacing w:after="120"/>
              <w:jc w:val="center"/>
            </w:pPr>
          </w:p>
        </w:tc>
        <w:tc>
          <w:tcPr>
            <w:tcW w:w="1355" w:type="dxa"/>
          </w:tcPr>
          <w:p w14:paraId="07943E17" w14:textId="24EB5B96" w:rsidR="00760101" w:rsidRPr="001858C8" w:rsidRDefault="00760101" w:rsidP="00760101">
            <w:pPr>
              <w:spacing w:after="120"/>
              <w:jc w:val="center"/>
            </w:pPr>
          </w:p>
        </w:tc>
        <w:tc>
          <w:tcPr>
            <w:tcW w:w="1451" w:type="dxa"/>
          </w:tcPr>
          <w:p w14:paraId="5D1EB785" w14:textId="605B2D72" w:rsidR="00760101" w:rsidRPr="001858C8" w:rsidRDefault="00760101" w:rsidP="00760101">
            <w:pPr>
              <w:spacing w:after="120"/>
              <w:jc w:val="center"/>
            </w:pPr>
          </w:p>
        </w:tc>
        <w:tc>
          <w:tcPr>
            <w:tcW w:w="1355" w:type="dxa"/>
          </w:tcPr>
          <w:p w14:paraId="7E7347DF" w14:textId="74544800" w:rsidR="00760101" w:rsidRPr="001858C8" w:rsidRDefault="00760101" w:rsidP="00760101">
            <w:pPr>
              <w:spacing w:after="120"/>
              <w:jc w:val="center"/>
            </w:pPr>
          </w:p>
        </w:tc>
        <w:tc>
          <w:tcPr>
            <w:tcW w:w="1144" w:type="dxa"/>
          </w:tcPr>
          <w:p w14:paraId="27993F0F" w14:textId="22B4274C" w:rsidR="00760101" w:rsidRPr="001858C8" w:rsidRDefault="00760101" w:rsidP="00760101">
            <w:pPr>
              <w:spacing w:after="120"/>
              <w:jc w:val="center"/>
            </w:pPr>
          </w:p>
        </w:tc>
        <w:tc>
          <w:tcPr>
            <w:tcW w:w="1433" w:type="dxa"/>
          </w:tcPr>
          <w:p w14:paraId="3D14DE78" w14:textId="42BB3384" w:rsidR="00760101" w:rsidRPr="001858C8" w:rsidRDefault="00760101" w:rsidP="00760101">
            <w:pPr>
              <w:spacing w:after="120"/>
              <w:jc w:val="center"/>
            </w:pPr>
          </w:p>
        </w:tc>
      </w:tr>
      <w:tr w:rsidR="00760101" w:rsidRPr="009B381E" w14:paraId="5C3A403A" w14:textId="77777777" w:rsidTr="00B87236">
        <w:tc>
          <w:tcPr>
            <w:tcW w:w="2651" w:type="dxa"/>
          </w:tcPr>
          <w:p w14:paraId="3BF8A849" w14:textId="176DF995" w:rsidR="00760101" w:rsidRPr="00EF284D" w:rsidRDefault="00760101" w:rsidP="00760101">
            <w:pPr>
              <w:spacing w:after="120"/>
              <w:jc w:val="both"/>
            </w:pPr>
            <w:r w:rsidRPr="00EF284D">
              <w:t xml:space="preserve">d) alte tipuri de </w:t>
            </w:r>
            <w:r>
              <w:t>cheltuieli</w:t>
            </w:r>
          </w:p>
          <w:p w14:paraId="359EE9C4" w14:textId="710C86CB" w:rsidR="00760101" w:rsidRPr="00CD13F8" w:rsidRDefault="00760101" w:rsidP="00760101">
            <w:pPr>
              <w:spacing w:after="120"/>
              <w:jc w:val="both"/>
            </w:pPr>
            <w:r w:rsidRPr="00EF284D">
              <w:lastRenderedPageBreak/>
              <w:t>(</w:t>
            </w:r>
            <w:r>
              <w:t>S</w:t>
            </w:r>
            <w:r w:rsidRPr="00EF284D">
              <w:t>e va menționa natura acestora</w:t>
            </w:r>
            <w:r>
              <w:t>.</w:t>
            </w:r>
            <w:r w:rsidRPr="00EF284D">
              <w:t>)</w:t>
            </w:r>
          </w:p>
        </w:tc>
        <w:tc>
          <w:tcPr>
            <w:tcW w:w="1144" w:type="dxa"/>
          </w:tcPr>
          <w:p w14:paraId="2C7AC338" w14:textId="32764745" w:rsidR="00760101" w:rsidRPr="001858C8" w:rsidRDefault="00760101" w:rsidP="00760101">
            <w:pPr>
              <w:spacing w:after="120"/>
              <w:jc w:val="center"/>
            </w:pPr>
          </w:p>
        </w:tc>
        <w:tc>
          <w:tcPr>
            <w:tcW w:w="1355" w:type="dxa"/>
          </w:tcPr>
          <w:p w14:paraId="7CA00BF7" w14:textId="557CDEA5" w:rsidR="00760101" w:rsidRPr="001858C8" w:rsidRDefault="00760101" w:rsidP="00760101">
            <w:pPr>
              <w:spacing w:after="120"/>
              <w:jc w:val="center"/>
            </w:pPr>
          </w:p>
        </w:tc>
        <w:tc>
          <w:tcPr>
            <w:tcW w:w="1451" w:type="dxa"/>
          </w:tcPr>
          <w:p w14:paraId="22F7EDA8" w14:textId="56C16CEF" w:rsidR="00760101" w:rsidRPr="001858C8" w:rsidRDefault="00760101" w:rsidP="00760101">
            <w:pPr>
              <w:spacing w:after="120"/>
              <w:jc w:val="center"/>
            </w:pPr>
          </w:p>
        </w:tc>
        <w:tc>
          <w:tcPr>
            <w:tcW w:w="1355" w:type="dxa"/>
          </w:tcPr>
          <w:p w14:paraId="1C65014D" w14:textId="5D385FD6" w:rsidR="00760101" w:rsidRPr="001858C8" w:rsidRDefault="00760101" w:rsidP="00760101">
            <w:pPr>
              <w:spacing w:after="120"/>
              <w:jc w:val="center"/>
            </w:pPr>
          </w:p>
        </w:tc>
        <w:tc>
          <w:tcPr>
            <w:tcW w:w="1144" w:type="dxa"/>
          </w:tcPr>
          <w:p w14:paraId="69EFB472" w14:textId="4BB44142" w:rsidR="00760101" w:rsidRPr="001858C8" w:rsidRDefault="00760101" w:rsidP="00760101">
            <w:pPr>
              <w:spacing w:after="120"/>
              <w:jc w:val="center"/>
            </w:pPr>
          </w:p>
        </w:tc>
        <w:tc>
          <w:tcPr>
            <w:tcW w:w="1433" w:type="dxa"/>
          </w:tcPr>
          <w:p w14:paraId="2BEA7293" w14:textId="575DFCB3" w:rsidR="00760101" w:rsidRPr="001858C8" w:rsidRDefault="00760101" w:rsidP="00760101">
            <w:pPr>
              <w:spacing w:after="120"/>
              <w:jc w:val="center"/>
            </w:pPr>
          </w:p>
        </w:tc>
      </w:tr>
      <w:tr w:rsidR="00760101" w:rsidRPr="009B381E" w14:paraId="6E9F3798" w14:textId="77777777" w:rsidTr="00B87236">
        <w:tc>
          <w:tcPr>
            <w:tcW w:w="2651" w:type="dxa"/>
          </w:tcPr>
          <w:p w14:paraId="1C49C2EC" w14:textId="77777777" w:rsidR="00760101" w:rsidRPr="00A75729" w:rsidRDefault="00760101" w:rsidP="00760101">
            <w:pPr>
              <w:spacing w:after="120"/>
              <w:jc w:val="both"/>
              <w:rPr>
                <w:b/>
                <w:bCs/>
              </w:rPr>
            </w:pPr>
            <w:r w:rsidRPr="00A75729">
              <w:rPr>
                <w:b/>
                <w:bCs/>
              </w:rPr>
              <w:t>4.3. Impact financiar, plus/minus, din care:</w:t>
            </w:r>
          </w:p>
          <w:p w14:paraId="656BFCEC" w14:textId="54C7982C" w:rsidR="00760101" w:rsidRPr="00EF284D" w:rsidRDefault="00760101" w:rsidP="00760101">
            <w:pPr>
              <w:spacing w:after="120"/>
              <w:jc w:val="both"/>
            </w:pPr>
            <w:r>
              <w:t>a) buget de stat</w:t>
            </w:r>
          </w:p>
        </w:tc>
        <w:tc>
          <w:tcPr>
            <w:tcW w:w="1144" w:type="dxa"/>
          </w:tcPr>
          <w:p w14:paraId="7AD2D601" w14:textId="1B1CA440" w:rsidR="00760101" w:rsidRPr="001858C8" w:rsidRDefault="00760101" w:rsidP="00760101">
            <w:pPr>
              <w:spacing w:after="120"/>
              <w:jc w:val="center"/>
            </w:pPr>
          </w:p>
        </w:tc>
        <w:tc>
          <w:tcPr>
            <w:tcW w:w="1355" w:type="dxa"/>
          </w:tcPr>
          <w:p w14:paraId="0568D044" w14:textId="4B5BC836" w:rsidR="00760101" w:rsidRPr="001858C8" w:rsidRDefault="00760101" w:rsidP="00760101">
            <w:pPr>
              <w:spacing w:after="120"/>
              <w:jc w:val="center"/>
            </w:pPr>
          </w:p>
        </w:tc>
        <w:tc>
          <w:tcPr>
            <w:tcW w:w="1451" w:type="dxa"/>
          </w:tcPr>
          <w:p w14:paraId="210A6366" w14:textId="6A334144" w:rsidR="00760101" w:rsidRPr="001858C8" w:rsidRDefault="00760101" w:rsidP="00760101">
            <w:pPr>
              <w:spacing w:after="120"/>
              <w:jc w:val="center"/>
            </w:pPr>
          </w:p>
        </w:tc>
        <w:tc>
          <w:tcPr>
            <w:tcW w:w="1355" w:type="dxa"/>
          </w:tcPr>
          <w:p w14:paraId="2693F75B" w14:textId="01210115" w:rsidR="00760101" w:rsidRPr="001858C8" w:rsidRDefault="00760101" w:rsidP="00760101">
            <w:pPr>
              <w:spacing w:after="120"/>
              <w:jc w:val="center"/>
            </w:pPr>
          </w:p>
        </w:tc>
        <w:tc>
          <w:tcPr>
            <w:tcW w:w="1144" w:type="dxa"/>
          </w:tcPr>
          <w:p w14:paraId="1585137C" w14:textId="4B0B0739" w:rsidR="00760101" w:rsidRPr="001858C8" w:rsidRDefault="00760101" w:rsidP="00760101">
            <w:pPr>
              <w:spacing w:after="120"/>
              <w:jc w:val="center"/>
            </w:pPr>
          </w:p>
        </w:tc>
        <w:tc>
          <w:tcPr>
            <w:tcW w:w="1433" w:type="dxa"/>
          </w:tcPr>
          <w:p w14:paraId="2D494315" w14:textId="7E98E80C" w:rsidR="00760101" w:rsidRPr="001858C8" w:rsidRDefault="00760101" w:rsidP="00760101">
            <w:pPr>
              <w:spacing w:after="120"/>
              <w:jc w:val="center"/>
            </w:pPr>
          </w:p>
        </w:tc>
      </w:tr>
      <w:tr w:rsidR="00760101" w:rsidRPr="009B381E" w14:paraId="3177FEF7" w14:textId="77777777" w:rsidTr="00B87236">
        <w:tc>
          <w:tcPr>
            <w:tcW w:w="2651" w:type="dxa"/>
          </w:tcPr>
          <w:p w14:paraId="33908C4A" w14:textId="118E34DE" w:rsidR="00760101" w:rsidRDefault="00760101" w:rsidP="00760101">
            <w:pPr>
              <w:spacing w:after="120"/>
              <w:jc w:val="both"/>
            </w:pPr>
            <w:r w:rsidRPr="00A75729">
              <w:t>b)</w:t>
            </w:r>
            <w:r>
              <w:t xml:space="preserve"> </w:t>
            </w:r>
            <w:r w:rsidRPr="00A75729">
              <w:t>bugete locale</w:t>
            </w:r>
          </w:p>
        </w:tc>
        <w:tc>
          <w:tcPr>
            <w:tcW w:w="1144" w:type="dxa"/>
          </w:tcPr>
          <w:p w14:paraId="4B62CC0C" w14:textId="3FC22AEA" w:rsidR="00760101" w:rsidRPr="001858C8" w:rsidRDefault="00760101" w:rsidP="00760101">
            <w:pPr>
              <w:spacing w:after="120"/>
              <w:jc w:val="center"/>
            </w:pPr>
          </w:p>
        </w:tc>
        <w:tc>
          <w:tcPr>
            <w:tcW w:w="1355" w:type="dxa"/>
          </w:tcPr>
          <w:p w14:paraId="283AC80B" w14:textId="339394D9" w:rsidR="00760101" w:rsidRPr="001858C8" w:rsidRDefault="00760101" w:rsidP="00760101">
            <w:pPr>
              <w:spacing w:after="120"/>
              <w:jc w:val="center"/>
            </w:pPr>
          </w:p>
        </w:tc>
        <w:tc>
          <w:tcPr>
            <w:tcW w:w="1451" w:type="dxa"/>
          </w:tcPr>
          <w:p w14:paraId="7219261C" w14:textId="6004CF5A" w:rsidR="00760101" w:rsidRPr="001858C8" w:rsidRDefault="00760101" w:rsidP="00760101">
            <w:pPr>
              <w:spacing w:after="120"/>
              <w:jc w:val="center"/>
            </w:pPr>
          </w:p>
        </w:tc>
        <w:tc>
          <w:tcPr>
            <w:tcW w:w="1355" w:type="dxa"/>
          </w:tcPr>
          <w:p w14:paraId="49D7F163" w14:textId="07FBC016" w:rsidR="00760101" w:rsidRPr="001858C8" w:rsidRDefault="00760101" w:rsidP="00760101">
            <w:pPr>
              <w:spacing w:after="120"/>
              <w:jc w:val="center"/>
            </w:pPr>
          </w:p>
        </w:tc>
        <w:tc>
          <w:tcPr>
            <w:tcW w:w="1144" w:type="dxa"/>
          </w:tcPr>
          <w:p w14:paraId="7C544E7C" w14:textId="0B7AFAFF" w:rsidR="00760101" w:rsidRPr="001858C8" w:rsidRDefault="00760101" w:rsidP="00760101">
            <w:pPr>
              <w:spacing w:after="120"/>
              <w:jc w:val="center"/>
            </w:pPr>
          </w:p>
        </w:tc>
        <w:tc>
          <w:tcPr>
            <w:tcW w:w="1433" w:type="dxa"/>
          </w:tcPr>
          <w:p w14:paraId="4953DDFD" w14:textId="34D5DC8E" w:rsidR="00760101" w:rsidRPr="001858C8" w:rsidRDefault="00760101" w:rsidP="00760101">
            <w:pPr>
              <w:spacing w:after="120"/>
              <w:jc w:val="center"/>
            </w:pPr>
          </w:p>
        </w:tc>
      </w:tr>
      <w:tr w:rsidR="00760101" w:rsidRPr="009B381E" w14:paraId="4B985901" w14:textId="77777777" w:rsidTr="00B87236">
        <w:tc>
          <w:tcPr>
            <w:tcW w:w="2651" w:type="dxa"/>
          </w:tcPr>
          <w:p w14:paraId="41F94191" w14:textId="1A93C525" w:rsidR="00760101" w:rsidRPr="00A75729" w:rsidRDefault="00760101" w:rsidP="00760101">
            <w:pPr>
              <w:spacing w:after="120"/>
              <w:jc w:val="both"/>
              <w:rPr>
                <w:b/>
                <w:bCs/>
              </w:rPr>
            </w:pPr>
            <w:r w:rsidRPr="00A75729">
              <w:rPr>
                <w:b/>
                <w:bCs/>
              </w:rPr>
              <w:t>4.4. Propuneri pentru acoperirea cre</w:t>
            </w:r>
            <w:r w:rsidR="008E1D00">
              <w:rPr>
                <w:b/>
                <w:bCs/>
              </w:rPr>
              <w:t>ș</w:t>
            </w:r>
            <w:r w:rsidRPr="00A75729">
              <w:rPr>
                <w:b/>
                <w:bCs/>
              </w:rPr>
              <w:t>terii cheltuielilor bugetare</w:t>
            </w:r>
          </w:p>
        </w:tc>
        <w:tc>
          <w:tcPr>
            <w:tcW w:w="1144" w:type="dxa"/>
          </w:tcPr>
          <w:p w14:paraId="12553E7B" w14:textId="183ABC09" w:rsidR="00760101" w:rsidRPr="001858C8" w:rsidRDefault="00760101" w:rsidP="00760101">
            <w:pPr>
              <w:spacing w:after="120"/>
              <w:jc w:val="center"/>
            </w:pPr>
          </w:p>
        </w:tc>
        <w:tc>
          <w:tcPr>
            <w:tcW w:w="1355" w:type="dxa"/>
          </w:tcPr>
          <w:p w14:paraId="6B4AB040" w14:textId="4E651DF2" w:rsidR="00760101" w:rsidRPr="001858C8" w:rsidRDefault="00760101" w:rsidP="00760101">
            <w:pPr>
              <w:spacing w:after="120"/>
              <w:jc w:val="center"/>
            </w:pPr>
          </w:p>
        </w:tc>
        <w:tc>
          <w:tcPr>
            <w:tcW w:w="1451" w:type="dxa"/>
          </w:tcPr>
          <w:p w14:paraId="2B58709A" w14:textId="6E625BB5" w:rsidR="00760101" w:rsidRPr="001858C8" w:rsidRDefault="00760101" w:rsidP="00760101">
            <w:pPr>
              <w:spacing w:after="120"/>
              <w:jc w:val="center"/>
            </w:pPr>
          </w:p>
        </w:tc>
        <w:tc>
          <w:tcPr>
            <w:tcW w:w="1355" w:type="dxa"/>
          </w:tcPr>
          <w:p w14:paraId="7AE48667" w14:textId="4E9CBF43" w:rsidR="00760101" w:rsidRPr="001858C8" w:rsidRDefault="00760101" w:rsidP="00760101">
            <w:pPr>
              <w:spacing w:after="120"/>
              <w:jc w:val="center"/>
            </w:pPr>
          </w:p>
        </w:tc>
        <w:tc>
          <w:tcPr>
            <w:tcW w:w="1144" w:type="dxa"/>
          </w:tcPr>
          <w:p w14:paraId="2C05220B" w14:textId="557041E5" w:rsidR="00760101" w:rsidRPr="001858C8" w:rsidRDefault="00760101" w:rsidP="00760101">
            <w:pPr>
              <w:spacing w:after="120"/>
              <w:jc w:val="center"/>
            </w:pPr>
          </w:p>
        </w:tc>
        <w:tc>
          <w:tcPr>
            <w:tcW w:w="1433" w:type="dxa"/>
          </w:tcPr>
          <w:p w14:paraId="5BF7C6F4" w14:textId="16F523EF" w:rsidR="00760101" w:rsidRPr="001858C8" w:rsidRDefault="00760101" w:rsidP="00760101">
            <w:pPr>
              <w:spacing w:after="120"/>
              <w:jc w:val="center"/>
            </w:pPr>
          </w:p>
        </w:tc>
      </w:tr>
      <w:tr w:rsidR="00760101" w:rsidRPr="009B381E" w14:paraId="0936FEC1" w14:textId="77777777" w:rsidTr="00B87236">
        <w:tc>
          <w:tcPr>
            <w:tcW w:w="2651" w:type="dxa"/>
          </w:tcPr>
          <w:p w14:paraId="31602873" w14:textId="19763228" w:rsidR="00760101" w:rsidRPr="00A75729" w:rsidRDefault="00760101" w:rsidP="00760101">
            <w:pPr>
              <w:spacing w:after="120"/>
              <w:jc w:val="both"/>
              <w:rPr>
                <w:b/>
                <w:bCs/>
              </w:rPr>
            </w:pPr>
            <w:r>
              <w:rPr>
                <w:b/>
                <w:bCs/>
              </w:rPr>
              <w:t xml:space="preserve">4.5. </w:t>
            </w:r>
            <w:r w:rsidRPr="00A75729">
              <w:rPr>
                <w:b/>
                <w:bCs/>
              </w:rPr>
              <w:t xml:space="preserve">Propuneri pentru </w:t>
            </w:r>
            <w:r>
              <w:rPr>
                <w:b/>
                <w:bCs/>
              </w:rPr>
              <w:t>a compensa reducerea veniturilor bugetare</w:t>
            </w:r>
          </w:p>
        </w:tc>
        <w:tc>
          <w:tcPr>
            <w:tcW w:w="1144" w:type="dxa"/>
          </w:tcPr>
          <w:p w14:paraId="50FCA196" w14:textId="2A544CF6" w:rsidR="00760101" w:rsidRPr="009B381E" w:rsidRDefault="00760101" w:rsidP="00760101">
            <w:pPr>
              <w:spacing w:after="120"/>
              <w:jc w:val="center"/>
            </w:pPr>
          </w:p>
        </w:tc>
        <w:tc>
          <w:tcPr>
            <w:tcW w:w="1355" w:type="dxa"/>
          </w:tcPr>
          <w:p w14:paraId="06CFE138" w14:textId="07BE4B1D" w:rsidR="00760101" w:rsidRPr="009B381E" w:rsidRDefault="00760101" w:rsidP="00760101">
            <w:pPr>
              <w:spacing w:after="120"/>
              <w:jc w:val="center"/>
            </w:pPr>
          </w:p>
        </w:tc>
        <w:tc>
          <w:tcPr>
            <w:tcW w:w="1451" w:type="dxa"/>
          </w:tcPr>
          <w:p w14:paraId="6FFFE022" w14:textId="2C5D060F" w:rsidR="00760101" w:rsidRPr="009B381E" w:rsidRDefault="00760101" w:rsidP="00760101">
            <w:pPr>
              <w:spacing w:after="120"/>
              <w:jc w:val="center"/>
            </w:pPr>
          </w:p>
        </w:tc>
        <w:tc>
          <w:tcPr>
            <w:tcW w:w="1355" w:type="dxa"/>
          </w:tcPr>
          <w:p w14:paraId="46465A6F" w14:textId="47553EF5" w:rsidR="00760101" w:rsidRPr="009B381E" w:rsidRDefault="00760101" w:rsidP="00760101">
            <w:pPr>
              <w:spacing w:after="120"/>
              <w:jc w:val="center"/>
            </w:pPr>
          </w:p>
        </w:tc>
        <w:tc>
          <w:tcPr>
            <w:tcW w:w="1144" w:type="dxa"/>
          </w:tcPr>
          <w:p w14:paraId="14082553" w14:textId="2E1A705C" w:rsidR="00760101" w:rsidRPr="009B381E" w:rsidRDefault="00760101" w:rsidP="00760101">
            <w:pPr>
              <w:spacing w:after="120"/>
              <w:jc w:val="center"/>
            </w:pPr>
          </w:p>
        </w:tc>
        <w:tc>
          <w:tcPr>
            <w:tcW w:w="1433" w:type="dxa"/>
          </w:tcPr>
          <w:p w14:paraId="178CA231" w14:textId="204C670F" w:rsidR="00760101" w:rsidRPr="009B381E" w:rsidRDefault="00760101" w:rsidP="00760101">
            <w:pPr>
              <w:spacing w:after="120"/>
              <w:jc w:val="center"/>
            </w:pPr>
          </w:p>
        </w:tc>
      </w:tr>
      <w:tr w:rsidR="00760101" w:rsidRPr="009B381E" w14:paraId="153D0F09" w14:textId="77777777" w:rsidTr="00B87236">
        <w:tc>
          <w:tcPr>
            <w:tcW w:w="2651" w:type="dxa"/>
          </w:tcPr>
          <w:p w14:paraId="4E7FCDBB" w14:textId="7CC40E47" w:rsidR="00760101" w:rsidRDefault="00760101" w:rsidP="00760101">
            <w:pPr>
              <w:spacing w:after="120"/>
              <w:jc w:val="both"/>
              <w:rPr>
                <w:b/>
                <w:bCs/>
              </w:rPr>
            </w:pPr>
            <w:r>
              <w:rPr>
                <w:b/>
                <w:bCs/>
              </w:rPr>
              <w:t xml:space="preserve">4.6. </w:t>
            </w:r>
            <w:r w:rsidRPr="00A75729">
              <w:rPr>
                <w:b/>
                <w:bCs/>
              </w:rPr>
              <w:t xml:space="preserve">Calcule detaliate privind fundamentarea modificărilor  veniturilor </w:t>
            </w:r>
            <w:r w:rsidR="008E1D00">
              <w:rPr>
                <w:b/>
                <w:bCs/>
              </w:rPr>
              <w:t>ș</w:t>
            </w:r>
            <w:r w:rsidRPr="00A75729">
              <w:rPr>
                <w:b/>
                <w:bCs/>
              </w:rPr>
              <w:t>i/sau cheltuielilor bugetare</w:t>
            </w:r>
          </w:p>
        </w:tc>
        <w:tc>
          <w:tcPr>
            <w:tcW w:w="1144" w:type="dxa"/>
          </w:tcPr>
          <w:p w14:paraId="18046DC1" w14:textId="2AF79FD5" w:rsidR="00760101" w:rsidRPr="009B381E" w:rsidRDefault="00760101" w:rsidP="00760101">
            <w:pPr>
              <w:spacing w:after="120"/>
              <w:jc w:val="center"/>
            </w:pPr>
          </w:p>
        </w:tc>
        <w:tc>
          <w:tcPr>
            <w:tcW w:w="1355" w:type="dxa"/>
          </w:tcPr>
          <w:p w14:paraId="7CF35163" w14:textId="7C2ED03D" w:rsidR="00760101" w:rsidRPr="009B381E" w:rsidRDefault="00760101" w:rsidP="00760101">
            <w:pPr>
              <w:spacing w:after="120"/>
              <w:jc w:val="center"/>
            </w:pPr>
          </w:p>
        </w:tc>
        <w:tc>
          <w:tcPr>
            <w:tcW w:w="1451" w:type="dxa"/>
          </w:tcPr>
          <w:p w14:paraId="1D863FB9" w14:textId="6F8C809C" w:rsidR="00760101" w:rsidRPr="009B381E" w:rsidRDefault="00760101" w:rsidP="00760101">
            <w:pPr>
              <w:spacing w:after="120"/>
              <w:jc w:val="center"/>
            </w:pPr>
          </w:p>
        </w:tc>
        <w:tc>
          <w:tcPr>
            <w:tcW w:w="1355" w:type="dxa"/>
          </w:tcPr>
          <w:p w14:paraId="42476051" w14:textId="51A63001" w:rsidR="00760101" w:rsidRPr="009B381E" w:rsidRDefault="00760101" w:rsidP="00760101">
            <w:pPr>
              <w:spacing w:after="120"/>
              <w:jc w:val="center"/>
            </w:pPr>
          </w:p>
        </w:tc>
        <w:tc>
          <w:tcPr>
            <w:tcW w:w="1144" w:type="dxa"/>
          </w:tcPr>
          <w:p w14:paraId="4746E189" w14:textId="06C86A64" w:rsidR="00760101" w:rsidRPr="009B381E" w:rsidRDefault="00760101" w:rsidP="00760101">
            <w:pPr>
              <w:spacing w:after="120"/>
              <w:jc w:val="center"/>
            </w:pPr>
          </w:p>
        </w:tc>
        <w:tc>
          <w:tcPr>
            <w:tcW w:w="1433" w:type="dxa"/>
          </w:tcPr>
          <w:p w14:paraId="05472402" w14:textId="7F194065" w:rsidR="00760101" w:rsidRPr="009B381E" w:rsidRDefault="00760101" w:rsidP="00760101">
            <w:pPr>
              <w:spacing w:after="120"/>
              <w:jc w:val="center"/>
            </w:pPr>
          </w:p>
        </w:tc>
      </w:tr>
      <w:tr w:rsidR="00B87236" w:rsidRPr="009B381E" w14:paraId="260B3CE9" w14:textId="77777777" w:rsidTr="005144FA">
        <w:tc>
          <w:tcPr>
            <w:tcW w:w="10533" w:type="dxa"/>
            <w:gridSpan w:val="7"/>
          </w:tcPr>
          <w:p w14:paraId="38A65360" w14:textId="7BB19CF9" w:rsidR="00B87236" w:rsidRPr="00B4537B" w:rsidRDefault="00B87236" w:rsidP="00B87236">
            <w:pPr>
              <w:spacing w:after="120"/>
              <w:jc w:val="both"/>
              <w:rPr>
                <w:b/>
                <w:bCs/>
              </w:rPr>
            </w:pPr>
            <w:r w:rsidRPr="00B4537B">
              <w:rPr>
                <w:b/>
                <w:bCs/>
              </w:rPr>
              <w:t>4.7. Prezentarea, în cazul proiectelor de acte normative a căror adaptare atrage majorarea cheltuielilor bugetare, a următoarelor documente:</w:t>
            </w:r>
          </w:p>
          <w:p w14:paraId="67DFFAEF" w14:textId="350B0C6A" w:rsidR="00B87236" w:rsidRDefault="00B87236" w:rsidP="00B87236">
            <w:pPr>
              <w:spacing w:after="120"/>
              <w:jc w:val="both"/>
            </w:pPr>
            <w:r>
              <w:t>a) fișa financiară prevăzută la art. 15 din Legea nr. 500/2002 privind finanțele publice, cu modificările și completările ulterioare, însoțită de ipotezele și metodologia de calcul utilizată;</w:t>
            </w:r>
          </w:p>
          <w:p w14:paraId="7A66643D" w14:textId="77777777" w:rsidR="00B87236" w:rsidRDefault="00B87236" w:rsidP="00B87236">
            <w:pPr>
              <w:spacing w:after="120"/>
              <w:jc w:val="both"/>
            </w:pPr>
            <w:r>
              <w:t>b) declarație conform căreia majorarea de cheltuială respectivă este compatibilă cu obiectivele și prioritățile strategice specificate în strategia fiscal-bugetară, cu legea bugetară anuală și cu plafoanele de cheltuieli prezentate în strategia fiscal-bugetară.</w:t>
            </w:r>
          </w:p>
          <w:p w14:paraId="45207CC9" w14:textId="4F2BD081" w:rsidR="000A4DD9" w:rsidRPr="00FB2E98" w:rsidRDefault="000A4DD9" w:rsidP="000A4DD9">
            <w:pPr>
              <w:spacing w:after="120"/>
              <w:jc w:val="both"/>
            </w:pPr>
            <w:r w:rsidRPr="00FB2E98">
              <w:t>Promovarea prezentului proiect de act normativ nu generează un impact financiar negativ raportat la anvelopa financiar</w:t>
            </w:r>
            <w:r w:rsidR="00E67733" w:rsidRPr="00FB2E98">
              <w:t>ă</w:t>
            </w:r>
            <w:r w:rsidRPr="00FB2E98">
              <w:t xml:space="preserve"> gestionat</w:t>
            </w:r>
            <w:r w:rsidR="00E67733" w:rsidRPr="00FB2E98">
              <w:t>ă</w:t>
            </w:r>
            <w:r w:rsidRPr="00FB2E98">
              <w:t xml:space="preserve"> de MIPE prin intermediul Politicii de Coeziune, Facilitații de Redresare </w:t>
            </w:r>
            <w:r w:rsidR="00E67733" w:rsidRPr="00FB2E98">
              <w:t>ș</w:t>
            </w:r>
            <w:r w:rsidRPr="00FB2E98">
              <w:t xml:space="preserve">i Reziliența </w:t>
            </w:r>
            <w:r w:rsidR="00E67733" w:rsidRPr="00FB2E98">
              <w:t>ș</w:t>
            </w:r>
            <w:r w:rsidRPr="00FB2E98">
              <w:t>i alte instrumente gestionate direct de c</w:t>
            </w:r>
            <w:r w:rsidR="00E67733" w:rsidRPr="00FB2E98">
              <w:t>ă</w:t>
            </w:r>
            <w:r w:rsidRPr="00FB2E98">
              <w:t>tre Comisia European</w:t>
            </w:r>
            <w:r w:rsidR="00E67733" w:rsidRPr="00FB2E98">
              <w:t>ă</w:t>
            </w:r>
            <w:r w:rsidRPr="00FB2E98">
              <w:t>. Totodată, precizăm că salariile personalului Ministerului Investi</w:t>
            </w:r>
            <w:r w:rsidR="00E67733" w:rsidRPr="00FB2E98">
              <w:t>ț</w:t>
            </w:r>
            <w:r w:rsidRPr="00FB2E98">
              <w:t xml:space="preserve">iilor </w:t>
            </w:r>
            <w:r w:rsidR="00E67733" w:rsidRPr="00FB2E98">
              <w:t>ș</w:t>
            </w:r>
            <w:r w:rsidRPr="00FB2E98">
              <w:t xml:space="preserve">i Proiectelor Europene implicat în coordonarea, gestionarea și controlul FESI sunt eligibile din FESI, fiind rambursate de Comisia Europeană în cadrul unor proiecte finanțate din POAT și POCU și, astfel, fiind degrevat bugetul instituției. </w:t>
            </w:r>
          </w:p>
          <w:p w14:paraId="78BB88F7" w14:textId="5EEAD51B" w:rsidR="00F77E37" w:rsidRPr="00FB2E98" w:rsidRDefault="00F77E37" w:rsidP="000A4DD9">
            <w:pPr>
              <w:spacing w:after="120"/>
              <w:jc w:val="both"/>
            </w:pPr>
            <w:r w:rsidRPr="00FB2E98">
              <w:t>De asemenea, preluarea</w:t>
            </w:r>
            <w:r w:rsidR="00EC19D7" w:rsidRPr="00FB2E98">
              <w:t xml:space="preserve"> celor două direcții generale de la Ministerul Dezvoltării, Lucrărilor Publice și Administrației se realizează </w:t>
            </w:r>
            <w:r w:rsidR="00420ED9" w:rsidRPr="00FB2E98">
              <w:t>cu preluarea chel</w:t>
            </w:r>
            <w:r w:rsidR="00E67733" w:rsidRPr="00FB2E98">
              <w:t>t</w:t>
            </w:r>
            <w:r w:rsidR="00420ED9" w:rsidRPr="00FB2E98">
              <w:t>uielilor de personal în structura bugetului propriu al Ministerului Investițiilor și Proiectelor Europene.</w:t>
            </w:r>
          </w:p>
          <w:p w14:paraId="699F79A9" w14:textId="62D82820" w:rsidR="000A4DD9" w:rsidRPr="009B381E" w:rsidRDefault="000A4DD9" w:rsidP="000A4DD9">
            <w:pPr>
              <w:spacing w:after="120"/>
              <w:jc w:val="both"/>
            </w:pPr>
          </w:p>
        </w:tc>
      </w:tr>
      <w:tr w:rsidR="00B87236" w:rsidRPr="009B381E" w14:paraId="675CE50B" w14:textId="77777777" w:rsidTr="005144FA">
        <w:tc>
          <w:tcPr>
            <w:tcW w:w="10533" w:type="dxa"/>
            <w:gridSpan w:val="7"/>
          </w:tcPr>
          <w:p w14:paraId="64B74EF4" w14:textId="6D13C355" w:rsidR="00B87236" w:rsidRPr="00B4537B" w:rsidRDefault="00B87236" w:rsidP="00B87236">
            <w:pPr>
              <w:spacing w:after="120"/>
              <w:rPr>
                <w:b/>
                <w:bCs/>
                <w:noProof/>
              </w:rPr>
            </w:pPr>
            <w:r w:rsidRPr="00B4537B">
              <w:rPr>
                <w:b/>
                <w:bCs/>
                <w:noProof/>
              </w:rPr>
              <w:t>4.8. Alte informații</w:t>
            </w:r>
          </w:p>
        </w:tc>
      </w:tr>
    </w:tbl>
    <w:p w14:paraId="7AFE2315" w14:textId="18BC380C" w:rsidR="005A1B09" w:rsidRDefault="006C28DB" w:rsidP="008838DB">
      <w:pPr>
        <w:spacing w:after="120"/>
        <w:jc w:val="both"/>
        <w:rPr>
          <w:b/>
        </w:rPr>
      </w:pPr>
      <w:r>
        <w:rPr>
          <w:b/>
        </w:rPr>
        <w:t xml:space="preserve"> </w:t>
      </w:r>
    </w:p>
    <w:p w14:paraId="248C81AE" w14:textId="77777777" w:rsidR="005A1B09" w:rsidRDefault="005A1B09" w:rsidP="008838DB">
      <w:pPr>
        <w:spacing w:after="120"/>
        <w:jc w:val="both"/>
        <w:rPr>
          <w:b/>
        </w:rPr>
      </w:pPr>
    </w:p>
    <w:p w14:paraId="14DADCE8" w14:textId="77777777" w:rsidR="0021286D" w:rsidRDefault="0021286D" w:rsidP="008838DB">
      <w:pPr>
        <w:spacing w:after="120"/>
        <w:jc w:val="both"/>
        <w:rPr>
          <w:b/>
        </w:rPr>
      </w:pPr>
    </w:p>
    <w:p w14:paraId="2B596FF9" w14:textId="77777777" w:rsidR="0021286D" w:rsidRDefault="0021286D" w:rsidP="008838DB">
      <w:pPr>
        <w:spacing w:after="120"/>
        <w:jc w:val="both"/>
        <w:rPr>
          <w:b/>
        </w:rPr>
      </w:pPr>
    </w:p>
    <w:p w14:paraId="21296612" w14:textId="77777777" w:rsidR="0021286D" w:rsidRDefault="0021286D" w:rsidP="008838DB">
      <w:pPr>
        <w:spacing w:after="120"/>
        <w:jc w:val="both"/>
        <w:rPr>
          <w:b/>
        </w:rPr>
      </w:pPr>
    </w:p>
    <w:p w14:paraId="4C3D865F" w14:textId="77777777" w:rsidR="0021286D" w:rsidRDefault="0021286D" w:rsidP="008838DB">
      <w:pPr>
        <w:spacing w:after="120"/>
        <w:jc w:val="both"/>
        <w:rPr>
          <w:b/>
        </w:rPr>
      </w:pPr>
    </w:p>
    <w:p w14:paraId="6F58CF70" w14:textId="77777777" w:rsidR="0021286D" w:rsidRPr="009B381E" w:rsidRDefault="0021286D" w:rsidP="008838DB">
      <w:pPr>
        <w:spacing w:after="120"/>
        <w:jc w:val="both"/>
        <w:rPr>
          <w:b/>
        </w:rPr>
      </w:pPr>
    </w:p>
    <w:p w14:paraId="777ED2E4" w14:textId="3C018908" w:rsidR="00B4537B" w:rsidRDefault="00670C79" w:rsidP="008838DB">
      <w:pPr>
        <w:spacing w:after="120"/>
        <w:ind w:firstLine="720"/>
        <w:jc w:val="both"/>
        <w:rPr>
          <w:b/>
        </w:rPr>
      </w:pPr>
      <w:r w:rsidRPr="009B381E">
        <w:rPr>
          <w:b/>
        </w:rPr>
        <w:lastRenderedPageBreak/>
        <w:t>Sec</w:t>
      </w:r>
      <w:r w:rsidR="008E1D00">
        <w:rPr>
          <w:b/>
        </w:rPr>
        <w:t>ț</w:t>
      </w:r>
      <w:r w:rsidRPr="009B381E">
        <w:rPr>
          <w:b/>
        </w:rPr>
        <w:t xml:space="preserve">iunea a 5-a </w:t>
      </w:r>
    </w:p>
    <w:p w14:paraId="7E1BCAF6" w14:textId="5B801FD7" w:rsidR="00670C79" w:rsidRPr="009B381E" w:rsidRDefault="00670C79" w:rsidP="008838DB">
      <w:pPr>
        <w:spacing w:after="120"/>
        <w:ind w:firstLine="720"/>
        <w:jc w:val="both"/>
        <w:rPr>
          <w:b/>
        </w:rPr>
      </w:pPr>
      <w:r w:rsidRPr="009B381E">
        <w:rPr>
          <w:b/>
        </w:rPr>
        <w:t>Efectele proiectului de act normativ asupra legisla</w:t>
      </w:r>
      <w:r w:rsidR="008E1D00">
        <w:rPr>
          <w:b/>
        </w:rPr>
        <w:t>ț</w:t>
      </w:r>
      <w:r w:rsidRPr="009B381E">
        <w:rPr>
          <w:b/>
        </w:rPr>
        <w:t>iei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973701" w:rsidRPr="009B381E" w14:paraId="327176B4" w14:textId="77777777" w:rsidTr="005144FA">
        <w:trPr>
          <w:trHeight w:val="561"/>
        </w:trPr>
        <w:tc>
          <w:tcPr>
            <w:tcW w:w="10533" w:type="dxa"/>
          </w:tcPr>
          <w:p w14:paraId="4F9076D7" w14:textId="407D2D2C" w:rsidR="00973701" w:rsidRDefault="00973701" w:rsidP="008838DB">
            <w:pPr>
              <w:spacing w:after="120"/>
              <w:jc w:val="both"/>
              <w:rPr>
                <w:b/>
                <w:bCs/>
              </w:rPr>
            </w:pPr>
            <w:r w:rsidRPr="00EF7E66">
              <w:rPr>
                <w:b/>
                <w:bCs/>
              </w:rPr>
              <w:t>5.1. Măsuri normative necesare pentru aplicarea prevederilor proiectului de act normativ</w:t>
            </w:r>
          </w:p>
          <w:p w14:paraId="2734C2C9" w14:textId="77777777" w:rsidR="00E34C9F" w:rsidRDefault="00E34C9F" w:rsidP="008838DB">
            <w:pPr>
              <w:tabs>
                <w:tab w:val="left" w:pos="201"/>
              </w:tabs>
              <w:spacing w:after="120"/>
              <w:jc w:val="both"/>
              <w:rPr>
                <w:color w:val="000000" w:themeColor="text1"/>
              </w:rPr>
            </w:pPr>
            <w:r w:rsidRPr="00781B0E">
              <w:rPr>
                <w:color w:val="000000" w:themeColor="text1"/>
              </w:rPr>
              <w:t xml:space="preserve">Prezentul act normativ nu se referă la acest subiect. </w:t>
            </w:r>
          </w:p>
          <w:p w14:paraId="79B335E6" w14:textId="7FF2F883" w:rsidR="00973701" w:rsidRDefault="00973701" w:rsidP="008838DB">
            <w:pPr>
              <w:tabs>
                <w:tab w:val="left" w:pos="201"/>
              </w:tabs>
              <w:spacing w:after="120"/>
              <w:jc w:val="both"/>
              <w:rPr>
                <w:b/>
                <w:bCs/>
              </w:rPr>
            </w:pPr>
            <w:r w:rsidRPr="00EF7E66">
              <w:rPr>
                <w:b/>
                <w:bCs/>
              </w:rPr>
              <w:t>5.2. Impactul asupra legislației în domeniul achizițiilor publice</w:t>
            </w:r>
          </w:p>
          <w:p w14:paraId="142A264C" w14:textId="77777777" w:rsidR="00E34C9F" w:rsidRDefault="00E34C9F" w:rsidP="008838DB">
            <w:pPr>
              <w:tabs>
                <w:tab w:val="left" w:pos="201"/>
              </w:tabs>
              <w:spacing w:after="120"/>
              <w:jc w:val="both"/>
              <w:rPr>
                <w:color w:val="000000" w:themeColor="text1"/>
              </w:rPr>
            </w:pPr>
            <w:r w:rsidRPr="00781B0E">
              <w:rPr>
                <w:color w:val="000000" w:themeColor="text1"/>
              </w:rPr>
              <w:t xml:space="preserve">Prezentul act normativ nu se referă la acest subiect. </w:t>
            </w:r>
          </w:p>
          <w:p w14:paraId="3CE6B9A6" w14:textId="0CF07188" w:rsidR="00973701" w:rsidRPr="00EF7E66" w:rsidRDefault="00973701" w:rsidP="008838DB">
            <w:pPr>
              <w:tabs>
                <w:tab w:val="left" w:pos="201"/>
              </w:tabs>
              <w:spacing w:after="120"/>
              <w:jc w:val="both"/>
              <w:rPr>
                <w:b/>
                <w:bCs/>
              </w:rPr>
            </w:pPr>
            <w:r w:rsidRPr="00EF7E66">
              <w:rPr>
                <w:b/>
                <w:bCs/>
              </w:rPr>
              <w:t>5.3. Conformitatea  proiectului de act normativ cu legisla</w:t>
            </w:r>
            <w:r w:rsidR="008E1D00">
              <w:rPr>
                <w:b/>
                <w:bCs/>
              </w:rPr>
              <w:t>ț</w:t>
            </w:r>
            <w:r w:rsidRPr="00EF7E66">
              <w:rPr>
                <w:b/>
                <w:bCs/>
              </w:rPr>
              <w:t>ia UE (în cazul proiectelor ce transpun sau asigură aplicarea unor prevederi de drept UE)</w:t>
            </w:r>
          </w:p>
          <w:p w14:paraId="09158D06" w14:textId="7EEBFF96" w:rsidR="00973701" w:rsidRDefault="00973701" w:rsidP="008838DB">
            <w:pPr>
              <w:tabs>
                <w:tab w:val="left" w:pos="201"/>
              </w:tabs>
              <w:spacing w:after="120"/>
              <w:jc w:val="both"/>
              <w:rPr>
                <w:b/>
                <w:bCs/>
              </w:rPr>
            </w:pPr>
            <w:r w:rsidRPr="00EF7E66">
              <w:rPr>
                <w:b/>
                <w:bCs/>
              </w:rPr>
              <w:t>5.3.1. Măsuri normative necesare transpunerii directivelor UE</w:t>
            </w:r>
          </w:p>
          <w:p w14:paraId="7FC77FE7" w14:textId="2382ABC5" w:rsidR="00707145" w:rsidRDefault="00707145" w:rsidP="008838DB">
            <w:pPr>
              <w:tabs>
                <w:tab w:val="left" w:pos="201"/>
              </w:tabs>
              <w:spacing w:after="120"/>
              <w:jc w:val="both"/>
              <w:rPr>
                <w:color w:val="000000" w:themeColor="text1"/>
              </w:rPr>
            </w:pPr>
            <w:r w:rsidRPr="00781B0E">
              <w:rPr>
                <w:color w:val="000000" w:themeColor="text1"/>
              </w:rPr>
              <w:t>Prezentul act normativ nu se referă la acest subiect.</w:t>
            </w:r>
          </w:p>
          <w:p w14:paraId="4087DBF1" w14:textId="5318F6F9" w:rsidR="00973701" w:rsidRDefault="00674D58" w:rsidP="008838DB">
            <w:pPr>
              <w:tabs>
                <w:tab w:val="left" w:pos="201"/>
              </w:tabs>
              <w:spacing w:after="120"/>
              <w:jc w:val="both"/>
              <w:rPr>
                <w:b/>
                <w:bCs/>
              </w:rPr>
            </w:pPr>
            <w:r w:rsidRPr="00EF7E66">
              <w:rPr>
                <w:b/>
                <w:bCs/>
              </w:rPr>
              <w:t>5.3.2. Măsuri normative necesare aplicării actelor legislative UE</w:t>
            </w:r>
          </w:p>
          <w:p w14:paraId="305F07FF" w14:textId="77777777" w:rsidR="0046232C" w:rsidRDefault="0046232C" w:rsidP="008838DB">
            <w:pPr>
              <w:tabs>
                <w:tab w:val="left" w:pos="201"/>
              </w:tabs>
              <w:spacing w:after="120"/>
              <w:jc w:val="both"/>
              <w:rPr>
                <w:color w:val="000000" w:themeColor="text1"/>
              </w:rPr>
            </w:pPr>
            <w:r w:rsidRPr="00781B0E">
              <w:rPr>
                <w:color w:val="000000" w:themeColor="text1"/>
              </w:rPr>
              <w:t>Prezentul act normativ nu se referă la acest subiect.</w:t>
            </w:r>
          </w:p>
          <w:p w14:paraId="175813EC" w14:textId="7FB5623E" w:rsidR="0046232C" w:rsidRDefault="00674D58" w:rsidP="008838DB">
            <w:pPr>
              <w:tabs>
                <w:tab w:val="left" w:pos="201"/>
              </w:tabs>
              <w:spacing w:after="120"/>
              <w:jc w:val="both"/>
              <w:rPr>
                <w:b/>
                <w:bCs/>
              </w:rPr>
            </w:pPr>
            <w:r w:rsidRPr="00EF7E66">
              <w:rPr>
                <w:b/>
                <w:bCs/>
              </w:rPr>
              <w:t>5.4. Hotărâri ale Cur</w:t>
            </w:r>
            <w:r w:rsidR="008E1D00">
              <w:rPr>
                <w:b/>
                <w:bCs/>
              </w:rPr>
              <w:t>ț</w:t>
            </w:r>
            <w:r w:rsidRPr="00EF7E66">
              <w:rPr>
                <w:b/>
                <w:bCs/>
              </w:rPr>
              <w:t>ii de Justi</w:t>
            </w:r>
            <w:r w:rsidR="008E1D00">
              <w:rPr>
                <w:b/>
                <w:bCs/>
              </w:rPr>
              <w:t>ț</w:t>
            </w:r>
            <w:r w:rsidRPr="00EF7E66">
              <w:rPr>
                <w:b/>
                <w:bCs/>
              </w:rPr>
              <w:t>ie a Uniunii Europene</w:t>
            </w:r>
            <w:r w:rsidR="002623AD">
              <w:rPr>
                <w:b/>
                <w:bCs/>
              </w:rPr>
              <w:t xml:space="preserve"> </w:t>
            </w:r>
          </w:p>
          <w:p w14:paraId="1E374322" w14:textId="491720F4" w:rsidR="0046232C" w:rsidRDefault="0046232C" w:rsidP="008838DB">
            <w:pPr>
              <w:tabs>
                <w:tab w:val="left" w:pos="201"/>
              </w:tabs>
              <w:spacing w:after="120"/>
              <w:jc w:val="both"/>
              <w:rPr>
                <w:color w:val="000000" w:themeColor="text1"/>
              </w:rPr>
            </w:pPr>
            <w:r w:rsidRPr="00781B0E">
              <w:rPr>
                <w:color w:val="000000" w:themeColor="text1"/>
              </w:rPr>
              <w:t>Prezentul act normativ nu se referă la acest subiect.</w:t>
            </w:r>
          </w:p>
          <w:p w14:paraId="2CB7E45D" w14:textId="64959F11" w:rsidR="00A4162D" w:rsidRDefault="00674D58" w:rsidP="008838DB">
            <w:pPr>
              <w:tabs>
                <w:tab w:val="left" w:pos="201"/>
              </w:tabs>
              <w:spacing w:after="120"/>
              <w:jc w:val="both"/>
              <w:rPr>
                <w:b/>
                <w:bCs/>
              </w:rPr>
            </w:pPr>
            <w:r w:rsidRPr="00EF7E66">
              <w:rPr>
                <w:b/>
                <w:bCs/>
              </w:rPr>
              <w:t xml:space="preserve">5.5. Alte acte normative </w:t>
            </w:r>
            <w:r w:rsidR="008E1D00">
              <w:rPr>
                <w:b/>
                <w:bCs/>
              </w:rPr>
              <w:t>ș</w:t>
            </w:r>
            <w:r w:rsidRPr="00EF7E66">
              <w:rPr>
                <w:b/>
                <w:bCs/>
              </w:rPr>
              <w:t>i/sau documente interna</w:t>
            </w:r>
            <w:r w:rsidR="008E1D00">
              <w:rPr>
                <w:b/>
                <w:bCs/>
              </w:rPr>
              <w:t>ț</w:t>
            </w:r>
            <w:r w:rsidRPr="00EF7E66">
              <w:rPr>
                <w:b/>
                <w:bCs/>
              </w:rPr>
              <w:t>ionale din care decurg angajamente asumate</w:t>
            </w:r>
            <w:r w:rsidR="002623AD">
              <w:rPr>
                <w:b/>
                <w:bCs/>
              </w:rPr>
              <w:t xml:space="preserve"> </w:t>
            </w:r>
          </w:p>
          <w:p w14:paraId="64B76AFC" w14:textId="4A289D0F" w:rsidR="00A4162D" w:rsidRDefault="00A4162D" w:rsidP="008838DB">
            <w:pPr>
              <w:tabs>
                <w:tab w:val="left" w:pos="201"/>
              </w:tabs>
              <w:spacing w:after="120"/>
              <w:jc w:val="both"/>
              <w:rPr>
                <w:color w:val="000000" w:themeColor="text1"/>
              </w:rPr>
            </w:pPr>
            <w:r w:rsidRPr="00781B0E">
              <w:rPr>
                <w:color w:val="000000" w:themeColor="text1"/>
              </w:rPr>
              <w:t>Prezentul act normativ nu se referă la acest subiect.</w:t>
            </w:r>
          </w:p>
          <w:p w14:paraId="48B42044" w14:textId="77777777" w:rsidR="00973701" w:rsidRDefault="00674D58" w:rsidP="008838DB">
            <w:pPr>
              <w:tabs>
                <w:tab w:val="left" w:pos="201"/>
              </w:tabs>
              <w:spacing w:after="120"/>
              <w:jc w:val="both"/>
              <w:rPr>
                <w:b/>
                <w:bCs/>
              </w:rPr>
            </w:pPr>
            <w:r w:rsidRPr="00EF7E66">
              <w:rPr>
                <w:b/>
                <w:bCs/>
              </w:rPr>
              <w:t>5.6. Alte informații</w:t>
            </w:r>
          </w:p>
          <w:p w14:paraId="7C430706" w14:textId="4146A0BA" w:rsidR="00AE7473" w:rsidRPr="00674D58" w:rsidRDefault="00AE7473" w:rsidP="008838DB">
            <w:pPr>
              <w:tabs>
                <w:tab w:val="left" w:pos="201"/>
              </w:tabs>
              <w:spacing w:after="120"/>
              <w:jc w:val="both"/>
            </w:pPr>
            <w:r w:rsidRPr="003F6FB9">
              <w:t>Nu au fost identificate.</w:t>
            </w:r>
          </w:p>
        </w:tc>
      </w:tr>
    </w:tbl>
    <w:p w14:paraId="7203B83A" w14:textId="1446FE46" w:rsidR="00DB715E" w:rsidRDefault="00DB715E" w:rsidP="008838DB">
      <w:pPr>
        <w:spacing w:after="120"/>
        <w:rPr>
          <w:b/>
        </w:rPr>
      </w:pPr>
      <w:r w:rsidRPr="009B381E">
        <w:rPr>
          <w:b/>
        </w:rPr>
        <w:t xml:space="preserve">   </w:t>
      </w:r>
    </w:p>
    <w:p w14:paraId="0295903C" w14:textId="77777777" w:rsidR="005A1B09" w:rsidRPr="009B381E" w:rsidRDefault="005A1B09" w:rsidP="008838DB">
      <w:pPr>
        <w:spacing w:after="120"/>
        <w:rPr>
          <w:b/>
        </w:rPr>
      </w:pPr>
    </w:p>
    <w:p w14:paraId="6F04DAD9" w14:textId="7B8E5E79" w:rsidR="00BB0782" w:rsidRDefault="00BB0782" w:rsidP="008838DB">
      <w:pPr>
        <w:spacing w:after="120"/>
        <w:ind w:firstLine="720"/>
        <w:rPr>
          <w:b/>
        </w:rPr>
      </w:pPr>
      <w:r>
        <w:rPr>
          <w:b/>
        </w:rPr>
        <w:t>Secțiunea a 6-a</w:t>
      </w:r>
    </w:p>
    <w:p w14:paraId="4113E59E" w14:textId="59419D76" w:rsidR="00670C79" w:rsidRPr="009B381E" w:rsidRDefault="00670C79" w:rsidP="008838DB">
      <w:pPr>
        <w:spacing w:after="120"/>
        <w:ind w:firstLine="720"/>
        <w:rPr>
          <w:b/>
        </w:rPr>
      </w:pPr>
      <w:r w:rsidRPr="009B381E">
        <w:rPr>
          <w:b/>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9B381E" w14:paraId="5EB7CDBC" w14:textId="77777777" w:rsidTr="005144FA">
        <w:tc>
          <w:tcPr>
            <w:tcW w:w="10533" w:type="dxa"/>
          </w:tcPr>
          <w:p w14:paraId="598B642C" w14:textId="50A84CE9" w:rsidR="00770E01" w:rsidRDefault="00770E01" w:rsidP="008838DB">
            <w:pPr>
              <w:spacing w:after="120"/>
              <w:jc w:val="both"/>
              <w:rPr>
                <w:b/>
                <w:bCs/>
              </w:rPr>
            </w:pPr>
            <w:r w:rsidRPr="00770E01">
              <w:rPr>
                <w:b/>
                <w:bCs/>
              </w:rPr>
              <w:t>6.1. Informații privind neaplicarea procedurii de participare la elaborarea actelor normative</w:t>
            </w:r>
          </w:p>
          <w:p w14:paraId="0B61431A" w14:textId="55CDA6D6" w:rsidR="00770E01" w:rsidRDefault="00770E01" w:rsidP="008838DB">
            <w:pPr>
              <w:spacing w:after="120"/>
              <w:jc w:val="both"/>
              <w:rPr>
                <w:b/>
                <w:bCs/>
              </w:rPr>
            </w:pPr>
            <w:r w:rsidRPr="00770E01">
              <w:rPr>
                <w:b/>
                <w:bCs/>
              </w:rPr>
              <w:t>6.2. Informa</w:t>
            </w:r>
            <w:r w:rsidR="008E1D00">
              <w:rPr>
                <w:b/>
                <w:bCs/>
              </w:rPr>
              <w:t>ț</w:t>
            </w:r>
            <w:r w:rsidRPr="00770E01">
              <w:rPr>
                <w:b/>
                <w:bCs/>
              </w:rPr>
              <w:t>ii privind procesul de consultare cu organiza</w:t>
            </w:r>
            <w:r w:rsidR="008E1D00">
              <w:rPr>
                <w:b/>
                <w:bCs/>
              </w:rPr>
              <w:t>ț</w:t>
            </w:r>
            <w:r w:rsidRPr="00770E01">
              <w:rPr>
                <w:b/>
                <w:bCs/>
              </w:rPr>
              <w:t xml:space="preserve">ii neguvernamentale, institute de cercetare </w:t>
            </w:r>
            <w:r w:rsidR="008E1D00">
              <w:rPr>
                <w:b/>
                <w:bCs/>
              </w:rPr>
              <w:t>ș</w:t>
            </w:r>
            <w:r w:rsidRPr="00770E01">
              <w:rPr>
                <w:b/>
                <w:bCs/>
              </w:rPr>
              <w:t>i alte organisme implicate</w:t>
            </w:r>
          </w:p>
          <w:p w14:paraId="2ADA1DAA" w14:textId="77777777" w:rsidR="00435A81" w:rsidRDefault="00435A81" w:rsidP="008838DB">
            <w:pPr>
              <w:spacing w:after="120"/>
              <w:jc w:val="both"/>
              <w:rPr>
                <w:b/>
                <w:bCs/>
              </w:rPr>
            </w:pPr>
            <w:r w:rsidRPr="003F6FB9">
              <w:t>Prezentul act normativ nu se referă la acest subiect</w:t>
            </w:r>
            <w:r w:rsidRPr="00770E01">
              <w:rPr>
                <w:b/>
                <w:bCs/>
              </w:rPr>
              <w:t xml:space="preserve"> </w:t>
            </w:r>
          </w:p>
          <w:p w14:paraId="2BABECC5" w14:textId="4EDDB79F" w:rsidR="00926ABC" w:rsidRDefault="00770E01" w:rsidP="008838DB">
            <w:pPr>
              <w:spacing w:after="120"/>
              <w:jc w:val="both"/>
              <w:rPr>
                <w:b/>
                <w:bCs/>
              </w:rPr>
            </w:pPr>
            <w:r w:rsidRPr="00770E01">
              <w:rPr>
                <w:b/>
                <w:bCs/>
              </w:rPr>
              <w:t>6.3. Informații despre consultările organizate cu autoritățile administrației publice locale</w:t>
            </w:r>
          </w:p>
          <w:p w14:paraId="0970A043" w14:textId="77777777" w:rsidR="0004511E" w:rsidRDefault="0004511E" w:rsidP="008838DB">
            <w:pPr>
              <w:spacing w:after="120"/>
              <w:jc w:val="both"/>
            </w:pPr>
            <w:r w:rsidRPr="003F6FB9">
              <w:t>Prezentul act normativ nu se referă la acest subiect.</w:t>
            </w:r>
          </w:p>
          <w:p w14:paraId="53F02791" w14:textId="3E5E442B" w:rsidR="00770E01" w:rsidRDefault="00770E01" w:rsidP="008838DB">
            <w:pPr>
              <w:spacing w:after="120"/>
              <w:jc w:val="both"/>
              <w:rPr>
                <w:b/>
                <w:bCs/>
              </w:rPr>
            </w:pPr>
            <w:r w:rsidRPr="00770E01">
              <w:rPr>
                <w:b/>
                <w:bCs/>
              </w:rPr>
              <w:t>6.4. Informații privind puncte de vedere/opinii emise de organisme consul</w:t>
            </w:r>
            <w:r w:rsidR="00842C68">
              <w:rPr>
                <w:b/>
                <w:bCs/>
              </w:rPr>
              <w:t>t</w:t>
            </w:r>
            <w:r w:rsidRPr="00770E01">
              <w:rPr>
                <w:b/>
                <w:bCs/>
              </w:rPr>
              <w:t>ative constituite prin acte normative</w:t>
            </w:r>
          </w:p>
          <w:p w14:paraId="0FF572CC" w14:textId="3F3A66CE" w:rsidR="00770E01" w:rsidRPr="00770E01" w:rsidRDefault="00770E01" w:rsidP="008838DB">
            <w:pPr>
              <w:spacing w:after="120"/>
              <w:jc w:val="both"/>
              <w:rPr>
                <w:b/>
                <w:bCs/>
              </w:rPr>
            </w:pPr>
            <w:r w:rsidRPr="00770E01">
              <w:rPr>
                <w:b/>
                <w:bCs/>
              </w:rPr>
              <w:t>6.5</w:t>
            </w:r>
            <w:r w:rsidR="004555DD">
              <w:rPr>
                <w:b/>
                <w:bCs/>
              </w:rPr>
              <w:t>.</w:t>
            </w:r>
            <w:r w:rsidRPr="00770E01">
              <w:rPr>
                <w:b/>
                <w:bCs/>
              </w:rPr>
              <w:t xml:space="preserve"> Informații privind avizarea de către:</w:t>
            </w:r>
          </w:p>
          <w:p w14:paraId="3DD2ED4C" w14:textId="434A7742" w:rsidR="00770E01" w:rsidRPr="002A6848" w:rsidRDefault="00770E01" w:rsidP="008838DB">
            <w:pPr>
              <w:spacing w:after="120"/>
              <w:jc w:val="both"/>
              <w:rPr>
                <w:b/>
                <w:bCs/>
              </w:rPr>
            </w:pPr>
            <w:r w:rsidRPr="002A6848">
              <w:rPr>
                <w:b/>
                <w:bCs/>
              </w:rPr>
              <w:t xml:space="preserve">a) Consiliul </w:t>
            </w:r>
            <w:r w:rsidR="008F6907" w:rsidRPr="002A6848">
              <w:rPr>
                <w:b/>
                <w:bCs/>
              </w:rPr>
              <w:t>L</w:t>
            </w:r>
            <w:r w:rsidRPr="002A6848">
              <w:rPr>
                <w:b/>
                <w:bCs/>
              </w:rPr>
              <w:t>egislativ</w:t>
            </w:r>
          </w:p>
          <w:p w14:paraId="5FE65553" w14:textId="3BB31D39" w:rsidR="00770E01" w:rsidRPr="00770E01" w:rsidRDefault="00770E01" w:rsidP="008838DB">
            <w:pPr>
              <w:spacing w:after="120"/>
              <w:jc w:val="both"/>
            </w:pPr>
            <w:r w:rsidRPr="00770E01">
              <w:t>b)</w:t>
            </w:r>
            <w:r w:rsidR="00456611">
              <w:t xml:space="preserve"> </w:t>
            </w:r>
            <w:r w:rsidRPr="00770E01">
              <w:t xml:space="preserve">Consiliul Suprem de Apărare a </w:t>
            </w:r>
            <w:r w:rsidR="008E1D00">
              <w:t>Ț</w:t>
            </w:r>
            <w:r w:rsidRPr="00770E01">
              <w:t>ării</w:t>
            </w:r>
          </w:p>
          <w:p w14:paraId="22642D64" w14:textId="78A48A8F" w:rsidR="00770E01" w:rsidRPr="00770E01" w:rsidRDefault="00770E01" w:rsidP="008838DB">
            <w:pPr>
              <w:spacing w:after="120"/>
              <w:jc w:val="both"/>
            </w:pPr>
            <w:r w:rsidRPr="00770E01">
              <w:t>c)</w:t>
            </w:r>
            <w:r w:rsidR="00456611">
              <w:t xml:space="preserve"> </w:t>
            </w:r>
            <w:r w:rsidRPr="00770E01">
              <w:t xml:space="preserve">Consiliul Economic </w:t>
            </w:r>
            <w:r w:rsidR="008E1D00">
              <w:t>ș</w:t>
            </w:r>
            <w:r w:rsidRPr="00770E01">
              <w:t>i Social</w:t>
            </w:r>
          </w:p>
          <w:p w14:paraId="782E1FCE" w14:textId="289AFE3B" w:rsidR="00770E01" w:rsidRPr="00770E01" w:rsidRDefault="00770E01" w:rsidP="008838DB">
            <w:pPr>
              <w:spacing w:after="120"/>
              <w:jc w:val="both"/>
            </w:pPr>
            <w:r w:rsidRPr="00770E01">
              <w:t>d)</w:t>
            </w:r>
            <w:r w:rsidR="00456611">
              <w:t xml:space="preserve"> </w:t>
            </w:r>
            <w:r w:rsidRPr="00770E01">
              <w:t>Consiliul Concuren</w:t>
            </w:r>
            <w:r w:rsidR="008E1D00">
              <w:t>ț</w:t>
            </w:r>
            <w:r w:rsidRPr="00770E01">
              <w:t xml:space="preserve">ei </w:t>
            </w:r>
          </w:p>
          <w:p w14:paraId="7E62C2BF" w14:textId="024FEE6F" w:rsidR="00770E01" w:rsidRDefault="00770E01" w:rsidP="008838DB">
            <w:pPr>
              <w:spacing w:after="120"/>
              <w:jc w:val="both"/>
            </w:pPr>
            <w:r w:rsidRPr="00770E01">
              <w:t>e)</w:t>
            </w:r>
            <w:r w:rsidR="00456611">
              <w:t xml:space="preserve"> </w:t>
            </w:r>
            <w:r w:rsidRPr="00770E01">
              <w:t>Curtea de Conturi</w:t>
            </w:r>
          </w:p>
          <w:p w14:paraId="0D5921FD" w14:textId="77777777" w:rsidR="00770E01" w:rsidRDefault="00770E01" w:rsidP="008838DB">
            <w:pPr>
              <w:spacing w:after="120"/>
              <w:jc w:val="both"/>
              <w:rPr>
                <w:b/>
                <w:bCs/>
              </w:rPr>
            </w:pPr>
            <w:r w:rsidRPr="00770E01">
              <w:rPr>
                <w:b/>
                <w:bCs/>
              </w:rPr>
              <w:lastRenderedPageBreak/>
              <w:t>6.6. Alte informații</w:t>
            </w:r>
          </w:p>
          <w:p w14:paraId="32E03757" w14:textId="2F79A627" w:rsidR="00856FA3" w:rsidRPr="00770E01" w:rsidRDefault="00856FA3" w:rsidP="008838DB">
            <w:pPr>
              <w:spacing w:after="120"/>
              <w:jc w:val="both"/>
              <w:rPr>
                <w:b/>
                <w:bCs/>
              </w:rPr>
            </w:pPr>
            <w:r w:rsidRPr="003F6FB9">
              <w:t>Nu au fost identificate</w:t>
            </w:r>
          </w:p>
        </w:tc>
      </w:tr>
    </w:tbl>
    <w:p w14:paraId="6E0461F2" w14:textId="77777777" w:rsidR="00260E13" w:rsidRPr="009B381E" w:rsidRDefault="00260E13" w:rsidP="008838DB">
      <w:pPr>
        <w:pStyle w:val="BodyTextIndent2"/>
        <w:spacing w:before="0" w:line="240" w:lineRule="auto"/>
        <w:ind w:right="98" w:firstLine="0"/>
        <w:jc w:val="both"/>
        <w:rPr>
          <w:bCs w:val="0"/>
          <w:sz w:val="24"/>
        </w:rPr>
      </w:pPr>
    </w:p>
    <w:p w14:paraId="7E4770EE" w14:textId="77777777" w:rsidR="006668A3" w:rsidRDefault="006668A3" w:rsidP="008838DB">
      <w:pPr>
        <w:pStyle w:val="BodyTextIndent2"/>
        <w:spacing w:before="0" w:line="240" w:lineRule="auto"/>
        <w:ind w:left="180" w:right="98" w:firstLine="540"/>
        <w:jc w:val="both"/>
        <w:rPr>
          <w:bCs w:val="0"/>
          <w:sz w:val="24"/>
        </w:rPr>
      </w:pPr>
    </w:p>
    <w:p w14:paraId="311858C9" w14:textId="6D5E42A1" w:rsidR="00770E01" w:rsidRDefault="00670C79" w:rsidP="008838DB">
      <w:pPr>
        <w:pStyle w:val="BodyTextIndent2"/>
        <w:spacing w:before="0" w:line="240" w:lineRule="auto"/>
        <w:ind w:left="180" w:right="98" w:firstLine="540"/>
        <w:jc w:val="both"/>
        <w:rPr>
          <w:bCs w:val="0"/>
          <w:sz w:val="24"/>
        </w:rPr>
      </w:pPr>
      <w:r w:rsidRPr="009B381E">
        <w:rPr>
          <w:bCs w:val="0"/>
          <w:sz w:val="24"/>
        </w:rPr>
        <w:t>Sec</w:t>
      </w:r>
      <w:r w:rsidR="008E1D00">
        <w:rPr>
          <w:bCs w:val="0"/>
          <w:sz w:val="24"/>
        </w:rPr>
        <w:t>ț</w:t>
      </w:r>
      <w:r w:rsidRPr="009B381E">
        <w:rPr>
          <w:bCs w:val="0"/>
          <w:sz w:val="24"/>
        </w:rPr>
        <w:t xml:space="preserve">iunea a 7-a  </w:t>
      </w:r>
    </w:p>
    <w:p w14:paraId="45DA67B7" w14:textId="2B346BAD" w:rsidR="00260E13" w:rsidRPr="009B381E" w:rsidRDefault="00670C79" w:rsidP="008838DB">
      <w:pPr>
        <w:pStyle w:val="BodyTextIndent2"/>
        <w:spacing w:before="0" w:line="240" w:lineRule="auto"/>
        <w:ind w:left="180" w:right="98" w:firstLine="540"/>
        <w:jc w:val="both"/>
        <w:rPr>
          <w:bCs w:val="0"/>
          <w:sz w:val="24"/>
        </w:rPr>
      </w:pPr>
      <w:r w:rsidRPr="009B381E">
        <w:rPr>
          <w:bCs w:val="0"/>
          <w:sz w:val="24"/>
        </w:rPr>
        <w:t>Activită</w:t>
      </w:r>
      <w:r w:rsidR="008E1D00">
        <w:rPr>
          <w:bCs w:val="0"/>
          <w:sz w:val="24"/>
        </w:rPr>
        <w:t>ț</w:t>
      </w:r>
      <w:r w:rsidRPr="009B381E">
        <w:rPr>
          <w:bCs w:val="0"/>
          <w:sz w:val="24"/>
        </w:rPr>
        <w:t xml:space="preserve">i de informare publică privind elaborarea şi implementarea </w:t>
      </w:r>
      <w:bookmarkStart w:id="2" w:name="_Hlk100229941"/>
      <w:r w:rsidRPr="009B381E">
        <w:rPr>
          <w:bCs w:val="0"/>
          <w:sz w:val="24"/>
        </w:rPr>
        <w:t>proiectului de act normativ</w:t>
      </w:r>
      <w:bookmarkEnd w:id="2"/>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9B381E" w14:paraId="416004E3" w14:textId="77777777" w:rsidTr="005144FA">
        <w:tc>
          <w:tcPr>
            <w:tcW w:w="10533" w:type="dxa"/>
          </w:tcPr>
          <w:p w14:paraId="29554504" w14:textId="663D535A" w:rsidR="00770E01" w:rsidRDefault="00770E01" w:rsidP="008838DB">
            <w:pPr>
              <w:spacing w:after="120"/>
              <w:jc w:val="both"/>
              <w:rPr>
                <w:b/>
                <w:bCs/>
              </w:rPr>
            </w:pPr>
            <w:r w:rsidRPr="0053566B">
              <w:rPr>
                <w:b/>
                <w:bCs/>
              </w:rPr>
              <w:t xml:space="preserve">7.1. </w:t>
            </w:r>
            <w:r w:rsidR="0053566B" w:rsidRPr="0053566B">
              <w:rPr>
                <w:b/>
                <w:bCs/>
              </w:rPr>
              <w:t>Informarea societă</w:t>
            </w:r>
            <w:r w:rsidR="008E1D00">
              <w:rPr>
                <w:b/>
                <w:bCs/>
              </w:rPr>
              <w:t>ț</w:t>
            </w:r>
            <w:r w:rsidR="0053566B" w:rsidRPr="0053566B">
              <w:rPr>
                <w:b/>
                <w:bCs/>
              </w:rPr>
              <w:t>ii civile cu privire la elaborarea proiectului de act normativ</w:t>
            </w:r>
          </w:p>
          <w:p w14:paraId="06B06A5E" w14:textId="48959ADC" w:rsidR="0063661B" w:rsidRPr="0063661B" w:rsidRDefault="00DD6D7E" w:rsidP="0063661B">
            <w:pPr>
              <w:spacing w:after="120"/>
              <w:jc w:val="both"/>
            </w:pPr>
            <w:r w:rsidRPr="00F465A6">
              <w:t>Proiectul de act normativ a fost afișat pe site-ul Ministerului Investi</w:t>
            </w:r>
            <w:r w:rsidR="008E1D00">
              <w:t>ț</w:t>
            </w:r>
            <w:r w:rsidRPr="00F465A6">
              <w:t xml:space="preserve">iilor si Proiectelor Europene </w:t>
            </w:r>
            <w:r w:rsidRPr="00234703">
              <w:t>în data de</w:t>
            </w:r>
            <w:r w:rsidR="00373279" w:rsidRPr="00234703">
              <w:t xml:space="preserve"> 27 decembrie 2022</w:t>
            </w:r>
            <w:r w:rsidRPr="00234703">
              <w:t xml:space="preserve">, </w:t>
            </w:r>
            <w:r w:rsidR="0063661B" w:rsidRPr="00234703">
              <w:t xml:space="preserve">la elaborarea acestuia fiind îndeplinită procedura stabilită potrivit prevederilor art.7 alin.13 din Legea nr. 52/2003 </w:t>
            </w:r>
            <w:r w:rsidR="0063661B" w:rsidRPr="00165D17">
              <w:t>privind transparența decizională în administrația publică, republicată, cu modificările și completările ulterioare.</w:t>
            </w:r>
          </w:p>
          <w:p w14:paraId="38ED4E79" w14:textId="77777777" w:rsidR="0063661B" w:rsidRPr="00165D17" w:rsidRDefault="0063661B" w:rsidP="0063661B">
            <w:pPr>
              <w:spacing w:after="120"/>
              <w:jc w:val="both"/>
            </w:pPr>
            <w:r w:rsidRPr="00165D17">
              <w:t>Totodată, menționăm că urgența acestui act normativ este motivată de</w:t>
            </w:r>
          </w:p>
          <w:p w14:paraId="06B5C812" w14:textId="77777777" w:rsidR="007C391F" w:rsidRPr="00165D17" w:rsidRDefault="00767EE4" w:rsidP="007C391F">
            <w:pPr>
              <w:pStyle w:val="ListParagraph"/>
              <w:spacing w:line="360" w:lineRule="auto"/>
              <w:ind w:left="34"/>
              <w:jc w:val="both"/>
              <w:rPr>
                <w:rFonts w:ascii="Times New Roman" w:eastAsia="Times New Roman" w:hAnsi="Times New Roman" w:cs="Times New Roman"/>
              </w:rPr>
            </w:pPr>
            <w:r w:rsidRPr="00165D17">
              <w:rPr>
                <w:rFonts w:ascii="Times New Roman" w:eastAsia="Times New Roman" w:hAnsi="Times New Roman" w:cs="Times New Roman"/>
              </w:rPr>
              <w:t>-necesitatea accelerării aprobării programelor operaționale, inclusiv a celor vizând domeniile sănătății și tranziției juste, pentru care trebuie asigurate sistemele de management și control avut în vedere pentru fiecare program operațional</w:t>
            </w:r>
          </w:p>
          <w:p w14:paraId="483632EF" w14:textId="6DB4B9C2" w:rsidR="00767EE4" w:rsidRPr="00165D17" w:rsidRDefault="007C391F" w:rsidP="007C391F">
            <w:pPr>
              <w:pStyle w:val="ListParagraph"/>
              <w:spacing w:line="360" w:lineRule="auto"/>
              <w:ind w:left="34"/>
              <w:jc w:val="both"/>
              <w:rPr>
                <w:rFonts w:ascii="Times New Roman" w:eastAsia="Times New Roman" w:hAnsi="Times New Roman" w:cs="Times New Roman"/>
              </w:rPr>
            </w:pPr>
            <w:r w:rsidRPr="00165D17">
              <w:rPr>
                <w:rFonts w:ascii="Times New Roman" w:eastAsia="Times New Roman" w:hAnsi="Times New Roman" w:cs="Times New Roman"/>
              </w:rPr>
              <w:t>-</w:t>
            </w:r>
            <w:r w:rsidR="00767EE4" w:rsidRPr="00165D17">
              <w:rPr>
                <w:rFonts w:ascii="Times New Roman" w:eastAsia="Times New Roman" w:hAnsi="Times New Roman" w:cs="Times New Roman"/>
              </w:rPr>
              <w:t xml:space="preserve"> necesitatea asigurării și implementării tuturor funcțiilor de sistem stabi</w:t>
            </w:r>
            <w:r w:rsidRPr="00165D17">
              <w:rPr>
                <w:rFonts w:ascii="Times New Roman" w:eastAsia="Times New Roman" w:hAnsi="Times New Roman" w:cs="Times New Roman"/>
              </w:rPr>
              <w:t>lite de regulamentele europene</w:t>
            </w:r>
          </w:p>
          <w:p w14:paraId="79298091" w14:textId="77777777" w:rsidR="00767EE4" w:rsidRPr="00165D17" w:rsidRDefault="00767EE4" w:rsidP="0063661B">
            <w:pPr>
              <w:spacing w:after="120"/>
              <w:jc w:val="both"/>
            </w:pPr>
          </w:p>
          <w:p w14:paraId="4F2E9D63" w14:textId="6AD3B600" w:rsidR="002F1A9F" w:rsidRDefault="002F1A9F" w:rsidP="008838DB">
            <w:pPr>
              <w:spacing w:after="120"/>
              <w:jc w:val="both"/>
              <w:rPr>
                <w:b/>
                <w:bCs/>
              </w:rPr>
            </w:pPr>
            <w:r w:rsidRPr="003F6FB9">
              <w:t>Prezentul act normativ nu se referă la acest subiect.</w:t>
            </w:r>
          </w:p>
          <w:p w14:paraId="08B3B8E2" w14:textId="77777777" w:rsidR="008F6907" w:rsidRDefault="008F6907" w:rsidP="008838DB">
            <w:pPr>
              <w:spacing w:after="120"/>
              <w:jc w:val="both"/>
              <w:rPr>
                <w:b/>
                <w:bCs/>
              </w:rPr>
            </w:pPr>
            <w:r w:rsidRPr="008F6907">
              <w:rPr>
                <w:b/>
                <w:bCs/>
              </w:rPr>
              <w:t>7.3. Alte informații</w:t>
            </w:r>
          </w:p>
          <w:p w14:paraId="6A2C5259" w14:textId="55DD1177" w:rsidR="0097156C" w:rsidRPr="008F6907" w:rsidRDefault="0097156C" w:rsidP="008838DB">
            <w:pPr>
              <w:spacing w:after="120"/>
              <w:jc w:val="both"/>
              <w:rPr>
                <w:b/>
                <w:bCs/>
              </w:rPr>
            </w:pPr>
            <w:r w:rsidRPr="003F6FB9">
              <w:t>Nu au fost identificate.</w:t>
            </w:r>
          </w:p>
        </w:tc>
      </w:tr>
    </w:tbl>
    <w:p w14:paraId="3C764F3C" w14:textId="77777777" w:rsidR="00254A40" w:rsidRDefault="00254A40" w:rsidP="008838DB">
      <w:pPr>
        <w:spacing w:after="120"/>
        <w:ind w:left="180" w:firstLine="540"/>
        <w:rPr>
          <w:b/>
        </w:rPr>
      </w:pPr>
    </w:p>
    <w:p w14:paraId="341152AF" w14:textId="29ED3DBA" w:rsidR="0053566B" w:rsidRDefault="00670C79" w:rsidP="008838DB">
      <w:pPr>
        <w:spacing w:after="120"/>
        <w:ind w:left="180" w:firstLine="540"/>
        <w:rPr>
          <w:b/>
        </w:rPr>
      </w:pPr>
      <w:r w:rsidRPr="009B381E">
        <w:rPr>
          <w:b/>
        </w:rPr>
        <w:t>Sec</w:t>
      </w:r>
      <w:r w:rsidR="00E67733">
        <w:rPr>
          <w:b/>
        </w:rPr>
        <w:t>ț</w:t>
      </w:r>
      <w:r w:rsidRPr="009B381E">
        <w:rPr>
          <w:b/>
        </w:rPr>
        <w:t>iunea a 8- a</w:t>
      </w:r>
      <w:r w:rsidR="002E20A6">
        <w:rPr>
          <w:b/>
        </w:rPr>
        <w:t xml:space="preserve"> </w:t>
      </w:r>
      <w:r w:rsidRPr="009B381E">
        <w:rPr>
          <w:b/>
        </w:rPr>
        <w:t xml:space="preserve"> </w:t>
      </w:r>
    </w:p>
    <w:p w14:paraId="3FBCA191" w14:textId="2A77164A" w:rsidR="00670C79" w:rsidRPr="009B381E" w:rsidRDefault="00670C79" w:rsidP="008838DB">
      <w:pPr>
        <w:spacing w:after="120"/>
        <w:ind w:left="180" w:firstLine="540"/>
        <w:rPr>
          <w:b/>
        </w:rPr>
      </w:pPr>
      <w:r w:rsidRPr="009B381E">
        <w:rPr>
          <w:b/>
        </w:rPr>
        <w:t xml:space="preserve">Măsuri </w:t>
      </w:r>
      <w:r w:rsidR="0053566B">
        <w:rPr>
          <w:b/>
        </w:rPr>
        <w:t>privind</w:t>
      </w:r>
      <w:r w:rsidRPr="009B381E">
        <w:rPr>
          <w:b/>
        </w:rPr>
        <w:t xml:space="preserve"> implementare</w:t>
      </w:r>
      <w:r w:rsidR="0053566B">
        <w:rPr>
          <w:b/>
        </w:rPr>
        <w:t xml:space="preserve">a, monitorizarea și evaluarea </w:t>
      </w:r>
      <w:r w:rsidR="0053566B" w:rsidRPr="0053566B">
        <w:rPr>
          <w:b/>
        </w:rPr>
        <w:t>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53566B" w:rsidRPr="009B381E" w14:paraId="554BFAFC" w14:textId="77777777" w:rsidTr="005144FA">
        <w:tc>
          <w:tcPr>
            <w:tcW w:w="10553" w:type="dxa"/>
          </w:tcPr>
          <w:p w14:paraId="560280B7" w14:textId="452BF905" w:rsidR="0053566B" w:rsidRDefault="0053566B" w:rsidP="008838DB">
            <w:pPr>
              <w:pStyle w:val="Heading1"/>
              <w:spacing w:after="120" w:line="240" w:lineRule="auto"/>
              <w:jc w:val="both"/>
              <w:rPr>
                <w:b/>
                <w:bCs/>
                <w:sz w:val="24"/>
              </w:rPr>
            </w:pPr>
            <w:r w:rsidRPr="0053566B">
              <w:rPr>
                <w:b/>
                <w:bCs/>
                <w:sz w:val="24"/>
              </w:rPr>
              <w:t>8.1. Măsuri de punere în aplicare a proiectului de act normativ</w:t>
            </w:r>
          </w:p>
          <w:p w14:paraId="10FAE652" w14:textId="1A71B50E" w:rsidR="00F422FE" w:rsidRDefault="00F422FE" w:rsidP="00F422FE">
            <w:pPr>
              <w:jc w:val="both"/>
            </w:pPr>
            <w:r w:rsidRPr="003F6FB9">
              <w:t>Actul normativ nu se referă la acest subiect.</w:t>
            </w:r>
          </w:p>
          <w:p w14:paraId="173BA10C" w14:textId="77777777" w:rsidR="00F422FE" w:rsidRPr="003F6FB9" w:rsidRDefault="00F422FE" w:rsidP="00F422FE">
            <w:pPr>
              <w:jc w:val="both"/>
            </w:pPr>
          </w:p>
          <w:p w14:paraId="1820F422" w14:textId="451F5100" w:rsidR="0053566B" w:rsidRDefault="0053566B" w:rsidP="008838DB">
            <w:pPr>
              <w:rPr>
                <w:b/>
                <w:bCs/>
              </w:rPr>
            </w:pPr>
            <w:r w:rsidRPr="0053566B">
              <w:rPr>
                <w:b/>
                <w:bCs/>
              </w:rPr>
              <w:t>8.2. Alte informa</w:t>
            </w:r>
            <w:r w:rsidR="00E67733">
              <w:rPr>
                <w:b/>
                <w:bCs/>
              </w:rPr>
              <w:t>ț</w:t>
            </w:r>
            <w:r w:rsidRPr="0053566B">
              <w:rPr>
                <w:b/>
                <w:bCs/>
              </w:rPr>
              <w:t>ii</w:t>
            </w:r>
          </w:p>
          <w:p w14:paraId="3837F202" w14:textId="43428D33" w:rsidR="00F422FE" w:rsidRPr="0053566B" w:rsidRDefault="00F422FE" w:rsidP="008838DB">
            <w:r w:rsidRPr="003F6FB9">
              <w:t>Nu au fost identificate.</w:t>
            </w:r>
          </w:p>
        </w:tc>
      </w:tr>
    </w:tbl>
    <w:p w14:paraId="28A87137" w14:textId="77777777" w:rsidR="00C5468F" w:rsidRDefault="00C5468F" w:rsidP="008838DB">
      <w:pPr>
        <w:widowControl w:val="0"/>
        <w:spacing w:after="120"/>
        <w:jc w:val="both"/>
      </w:pPr>
    </w:p>
    <w:p w14:paraId="083ACBDB" w14:textId="761D61BA" w:rsidR="00BC311F" w:rsidRDefault="00BC311F" w:rsidP="00AD0FCB">
      <w:pPr>
        <w:jc w:val="both"/>
      </w:pPr>
    </w:p>
    <w:p w14:paraId="603B11FB" w14:textId="552DBC4C" w:rsidR="002A78C8" w:rsidRDefault="002A78C8" w:rsidP="00AD0FCB">
      <w:pPr>
        <w:jc w:val="both"/>
      </w:pPr>
    </w:p>
    <w:p w14:paraId="569DA1F3" w14:textId="785AC828" w:rsidR="002A78C8" w:rsidRDefault="002A78C8" w:rsidP="00AD0FCB">
      <w:pPr>
        <w:jc w:val="both"/>
      </w:pPr>
    </w:p>
    <w:p w14:paraId="4DBDA16A" w14:textId="7EE63526" w:rsidR="002A78C8" w:rsidRDefault="002A78C8" w:rsidP="00AD0FCB">
      <w:pPr>
        <w:jc w:val="both"/>
      </w:pPr>
    </w:p>
    <w:p w14:paraId="6091E43F" w14:textId="57EE1F06" w:rsidR="002A78C8" w:rsidRDefault="002A78C8" w:rsidP="00AD0FCB">
      <w:pPr>
        <w:jc w:val="both"/>
      </w:pPr>
    </w:p>
    <w:p w14:paraId="652916B9" w14:textId="7459A679" w:rsidR="002A78C8" w:rsidRDefault="002A78C8" w:rsidP="00AD0FCB">
      <w:pPr>
        <w:jc w:val="both"/>
      </w:pPr>
    </w:p>
    <w:p w14:paraId="2E54660C" w14:textId="76DB9806" w:rsidR="002A78C8" w:rsidRDefault="002A78C8" w:rsidP="00AD0FCB">
      <w:pPr>
        <w:jc w:val="both"/>
      </w:pPr>
    </w:p>
    <w:p w14:paraId="61640AD3" w14:textId="5600292D" w:rsidR="002A78C8" w:rsidRDefault="002A78C8" w:rsidP="00AD0FCB">
      <w:pPr>
        <w:jc w:val="both"/>
      </w:pPr>
    </w:p>
    <w:p w14:paraId="5F388C19" w14:textId="17637260" w:rsidR="002A78C8" w:rsidRDefault="002A78C8" w:rsidP="00AD0FCB">
      <w:pPr>
        <w:jc w:val="both"/>
      </w:pPr>
    </w:p>
    <w:p w14:paraId="5D2797CD" w14:textId="52F785E3" w:rsidR="002A78C8" w:rsidRDefault="002A78C8" w:rsidP="00AD0FCB">
      <w:pPr>
        <w:jc w:val="both"/>
      </w:pPr>
    </w:p>
    <w:p w14:paraId="7CD83D50" w14:textId="77777777" w:rsidR="002A78C8" w:rsidRDefault="002A78C8" w:rsidP="00AD0FCB">
      <w:pPr>
        <w:jc w:val="both"/>
      </w:pPr>
    </w:p>
    <w:p w14:paraId="52AB5378" w14:textId="77777777" w:rsidR="00BC311F" w:rsidRDefault="00BC311F" w:rsidP="00AD0FCB">
      <w:pPr>
        <w:jc w:val="both"/>
      </w:pPr>
    </w:p>
    <w:p w14:paraId="23490EDB" w14:textId="70725601" w:rsidR="006F3F80" w:rsidRPr="003F6FB9" w:rsidRDefault="006F3F80" w:rsidP="006F3F80">
      <w:pPr>
        <w:ind w:right="-94"/>
        <w:jc w:val="both"/>
        <w:rPr>
          <w:rFonts w:eastAsia="Calibri"/>
          <w:lang w:eastAsia="ro-RO"/>
        </w:rPr>
      </w:pPr>
      <w:r w:rsidRPr="003F6FB9">
        <w:lastRenderedPageBreak/>
        <w:t>Fa</w:t>
      </w:r>
      <w:r w:rsidR="00E67733">
        <w:t>ț</w:t>
      </w:r>
      <w:r w:rsidRPr="003F6FB9">
        <w:t xml:space="preserve">ă de cele prezentate, a fost elaborat prezentul proiect de </w:t>
      </w:r>
      <w:r w:rsidRPr="003F6FB9">
        <w:rPr>
          <w:b/>
        </w:rPr>
        <w:t xml:space="preserve">Hotărâre a Guvernului pentru modificarea și completarea Hotărârii Guvernului nr. 52/2018 privind organizarea </w:t>
      </w:r>
      <w:r w:rsidR="00E67733">
        <w:rPr>
          <w:b/>
        </w:rPr>
        <w:t>ș</w:t>
      </w:r>
      <w:r w:rsidRPr="003F6FB9">
        <w:rPr>
          <w:b/>
        </w:rPr>
        <w:t xml:space="preserve">i funcționarea Ministerului </w:t>
      </w:r>
      <w:r w:rsidR="00705208">
        <w:rPr>
          <w:b/>
        </w:rPr>
        <w:t>Investițiilor și Proiectelor Europene</w:t>
      </w:r>
      <w:r w:rsidRPr="003F6FB9">
        <w:t xml:space="preserve">, care, în forma prezentată, a fost avizat de ministerele interesate </w:t>
      </w:r>
      <w:r w:rsidR="00E67733">
        <w:t>ș</w:t>
      </w:r>
      <w:r w:rsidRPr="003F6FB9">
        <w:t>i pe care îl supunem adoptării.</w:t>
      </w:r>
    </w:p>
    <w:p w14:paraId="44CB9A36" w14:textId="77777777" w:rsidR="006F3F80" w:rsidRPr="003F6FB9" w:rsidRDefault="006F3F80" w:rsidP="006F3F80">
      <w:pPr>
        <w:autoSpaceDE w:val="0"/>
        <w:autoSpaceDN w:val="0"/>
        <w:adjustRightInd w:val="0"/>
        <w:spacing w:line="276" w:lineRule="auto"/>
        <w:ind w:left="-567" w:right="-450" w:firstLine="450"/>
        <w:jc w:val="both"/>
        <w:rPr>
          <w:rFonts w:eastAsia="Calibri"/>
          <w:lang w:eastAsia="ro-RO"/>
        </w:rPr>
      </w:pPr>
    </w:p>
    <w:p w14:paraId="51E7DB5D" w14:textId="77777777" w:rsidR="006F3F80" w:rsidRPr="003F6FB9" w:rsidRDefault="006F3F80" w:rsidP="006F3F80">
      <w:pPr>
        <w:spacing w:line="360" w:lineRule="auto"/>
        <w:jc w:val="center"/>
        <w:rPr>
          <w:b/>
        </w:rPr>
      </w:pPr>
    </w:p>
    <w:p w14:paraId="46D75F25" w14:textId="77777777" w:rsidR="006F3F80" w:rsidRDefault="006F3F80" w:rsidP="006F3F80">
      <w:pPr>
        <w:spacing w:line="360" w:lineRule="auto"/>
        <w:jc w:val="center"/>
        <w:rPr>
          <w:b/>
        </w:rPr>
      </w:pPr>
      <w:r w:rsidRPr="003F6FB9">
        <w:rPr>
          <w:b/>
        </w:rPr>
        <w:t xml:space="preserve">MINISTRUL </w:t>
      </w:r>
      <w:r>
        <w:rPr>
          <w:b/>
        </w:rPr>
        <w:t>INVESTIȚIILOR ȘI PROIECTELOR EUROPENE</w:t>
      </w:r>
    </w:p>
    <w:p w14:paraId="4F69D88B" w14:textId="77777777" w:rsidR="006F3F80" w:rsidRPr="003F6FB9" w:rsidRDefault="006F3F80" w:rsidP="006F3F80">
      <w:pPr>
        <w:spacing w:line="360" w:lineRule="auto"/>
        <w:jc w:val="center"/>
        <w:rPr>
          <w:b/>
        </w:rPr>
      </w:pPr>
      <w:r>
        <w:rPr>
          <w:b/>
        </w:rPr>
        <w:t>MARCEL-IOAN BOLOȘ</w:t>
      </w:r>
    </w:p>
    <w:p w14:paraId="3F753A6D" w14:textId="77777777" w:rsidR="006F3F80" w:rsidRDefault="006F3F80" w:rsidP="007D6883">
      <w:pPr>
        <w:spacing w:line="360" w:lineRule="auto"/>
        <w:rPr>
          <w:b/>
        </w:rPr>
      </w:pPr>
    </w:p>
    <w:p w14:paraId="0F4F3DFE" w14:textId="77777777" w:rsidR="006F3F80" w:rsidRDefault="006F3F80" w:rsidP="006F3F80">
      <w:pPr>
        <w:spacing w:line="360" w:lineRule="auto"/>
        <w:jc w:val="center"/>
        <w:rPr>
          <w:b/>
        </w:rPr>
      </w:pPr>
      <w:bookmarkStart w:id="3" w:name="_GoBack"/>
      <w:bookmarkEnd w:id="3"/>
    </w:p>
    <w:sectPr w:rsidR="006F3F80" w:rsidSect="008E1534">
      <w:footerReference w:type="even" r:id="rId12"/>
      <w:footerReference w:type="default" r:id="rId13"/>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1C1F89" w14:textId="77777777" w:rsidR="00005888" w:rsidRDefault="00005888">
      <w:r>
        <w:separator/>
      </w:r>
    </w:p>
  </w:endnote>
  <w:endnote w:type="continuationSeparator" w:id="0">
    <w:p w14:paraId="5D04DE07" w14:textId="77777777" w:rsidR="00005888" w:rsidRDefault="00005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78418" w14:textId="77777777" w:rsidR="001774C7" w:rsidRDefault="001774C7" w:rsidP="005144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1774C7" w:rsidRDefault="001774C7" w:rsidP="005144F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42F9A" w14:textId="77777777" w:rsidR="001774C7" w:rsidRDefault="001774C7" w:rsidP="005144F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93E25C" w14:textId="77777777" w:rsidR="00005888" w:rsidRDefault="00005888">
      <w:r>
        <w:separator/>
      </w:r>
    </w:p>
  </w:footnote>
  <w:footnote w:type="continuationSeparator" w:id="0">
    <w:p w14:paraId="67D01D53" w14:textId="77777777" w:rsidR="00005888" w:rsidRDefault="000058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4287"/>
      </v:shape>
    </w:pict>
  </w:numPicBullet>
  <w:abstractNum w:abstractNumId="0" w15:restartNumberingAfterBreak="0">
    <w:nsid w:val="01B8274F"/>
    <w:multiLevelType w:val="hybridMultilevel"/>
    <w:tmpl w:val="6930BE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FD6DA0"/>
    <w:multiLevelType w:val="hybridMultilevel"/>
    <w:tmpl w:val="11DCA0EC"/>
    <w:lvl w:ilvl="0" w:tplc="B52A9232">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15:restartNumberingAfterBreak="0">
    <w:nsid w:val="06117744"/>
    <w:multiLevelType w:val="hybridMultilevel"/>
    <w:tmpl w:val="2F2AD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507F6C"/>
    <w:multiLevelType w:val="hybridMultilevel"/>
    <w:tmpl w:val="47563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AE0729"/>
    <w:multiLevelType w:val="hybridMultilevel"/>
    <w:tmpl w:val="F19C73CA"/>
    <w:lvl w:ilvl="0" w:tplc="B44A25B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513A64"/>
    <w:multiLevelType w:val="hybridMultilevel"/>
    <w:tmpl w:val="E5E06ACC"/>
    <w:lvl w:ilvl="0" w:tplc="10E0BDC6">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8BE6499"/>
    <w:multiLevelType w:val="hybridMultilevel"/>
    <w:tmpl w:val="C11E0DDC"/>
    <w:lvl w:ilvl="0" w:tplc="18D8869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0074B1"/>
    <w:multiLevelType w:val="hybridMultilevel"/>
    <w:tmpl w:val="16ECB57A"/>
    <w:lvl w:ilvl="0" w:tplc="04180007">
      <w:start w:val="1"/>
      <w:numFmt w:val="bullet"/>
      <w:lvlText w:val=""/>
      <w:lvlPicBulletId w:val="0"/>
      <w:lvlJc w:val="left"/>
      <w:pPr>
        <w:ind w:left="1474" w:hanging="360"/>
      </w:pPr>
      <w:rPr>
        <w:rFonts w:ascii="Symbol" w:hAnsi="Symbol" w:hint="default"/>
      </w:rPr>
    </w:lvl>
    <w:lvl w:ilvl="1" w:tplc="04180003" w:tentative="1">
      <w:start w:val="1"/>
      <w:numFmt w:val="bullet"/>
      <w:lvlText w:val="o"/>
      <w:lvlJc w:val="left"/>
      <w:pPr>
        <w:ind w:left="2194" w:hanging="360"/>
      </w:pPr>
      <w:rPr>
        <w:rFonts w:ascii="Courier New" w:hAnsi="Courier New" w:cs="Courier New" w:hint="default"/>
      </w:rPr>
    </w:lvl>
    <w:lvl w:ilvl="2" w:tplc="04180005" w:tentative="1">
      <w:start w:val="1"/>
      <w:numFmt w:val="bullet"/>
      <w:lvlText w:val=""/>
      <w:lvlJc w:val="left"/>
      <w:pPr>
        <w:ind w:left="2914" w:hanging="360"/>
      </w:pPr>
      <w:rPr>
        <w:rFonts w:ascii="Wingdings" w:hAnsi="Wingdings" w:hint="default"/>
      </w:rPr>
    </w:lvl>
    <w:lvl w:ilvl="3" w:tplc="04180001" w:tentative="1">
      <w:start w:val="1"/>
      <w:numFmt w:val="bullet"/>
      <w:lvlText w:val=""/>
      <w:lvlJc w:val="left"/>
      <w:pPr>
        <w:ind w:left="3634" w:hanging="360"/>
      </w:pPr>
      <w:rPr>
        <w:rFonts w:ascii="Symbol" w:hAnsi="Symbol" w:hint="default"/>
      </w:rPr>
    </w:lvl>
    <w:lvl w:ilvl="4" w:tplc="04180003" w:tentative="1">
      <w:start w:val="1"/>
      <w:numFmt w:val="bullet"/>
      <w:lvlText w:val="o"/>
      <w:lvlJc w:val="left"/>
      <w:pPr>
        <w:ind w:left="4354" w:hanging="360"/>
      </w:pPr>
      <w:rPr>
        <w:rFonts w:ascii="Courier New" w:hAnsi="Courier New" w:cs="Courier New" w:hint="default"/>
      </w:rPr>
    </w:lvl>
    <w:lvl w:ilvl="5" w:tplc="04180005" w:tentative="1">
      <w:start w:val="1"/>
      <w:numFmt w:val="bullet"/>
      <w:lvlText w:val=""/>
      <w:lvlJc w:val="left"/>
      <w:pPr>
        <w:ind w:left="5074" w:hanging="360"/>
      </w:pPr>
      <w:rPr>
        <w:rFonts w:ascii="Wingdings" w:hAnsi="Wingdings" w:hint="default"/>
      </w:rPr>
    </w:lvl>
    <w:lvl w:ilvl="6" w:tplc="04180001" w:tentative="1">
      <w:start w:val="1"/>
      <w:numFmt w:val="bullet"/>
      <w:lvlText w:val=""/>
      <w:lvlJc w:val="left"/>
      <w:pPr>
        <w:ind w:left="5794" w:hanging="360"/>
      </w:pPr>
      <w:rPr>
        <w:rFonts w:ascii="Symbol" w:hAnsi="Symbol" w:hint="default"/>
      </w:rPr>
    </w:lvl>
    <w:lvl w:ilvl="7" w:tplc="04180003" w:tentative="1">
      <w:start w:val="1"/>
      <w:numFmt w:val="bullet"/>
      <w:lvlText w:val="o"/>
      <w:lvlJc w:val="left"/>
      <w:pPr>
        <w:ind w:left="6514" w:hanging="360"/>
      </w:pPr>
      <w:rPr>
        <w:rFonts w:ascii="Courier New" w:hAnsi="Courier New" w:cs="Courier New" w:hint="default"/>
      </w:rPr>
    </w:lvl>
    <w:lvl w:ilvl="8" w:tplc="04180005" w:tentative="1">
      <w:start w:val="1"/>
      <w:numFmt w:val="bullet"/>
      <w:lvlText w:val=""/>
      <w:lvlJc w:val="left"/>
      <w:pPr>
        <w:ind w:left="7234" w:hanging="360"/>
      </w:pPr>
      <w:rPr>
        <w:rFonts w:ascii="Wingdings" w:hAnsi="Wingdings" w:hint="default"/>
      </w:rPr>
    </w:lvl>
  </w:abstractNum>
  <w:abstractNum w:abstractNumId="11" w15:restartNumberingAfterBreak="0">
    <w:nsid w:val="231053BA"/>
    <w:multiLevelType w:val="hybridMultilevel"/>
    <w:tmpl w:val="45C28810"/>
    <w:lvl w:ilvl="0" w:tplc="4FDAAFB6">
      <w:start w:val="10"/>
      <w:numFmt w:val="decimal"/>
      <w:lvlText w:val="%1."/>
      <w:lvlJc w:val="left"/>
      <w:pPr>
        <w:ind w:left="1494" w:hanging="360"/>
      </w:pPr>
      <w:rPr>
        <w:rFonts w:hint="default"/>
        <w:b/>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5893599"/>
    <w:multiLevelType w:val="hybridMultilevel"/>
    <w:tmpl w:val="55A28498"/>
    <w:lvl w:ilvl="0" w:tplc="203056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F82433A"/>
    <w:multiLevelType w:val="hybridMultilevel"/>
    <w:tmpl w:val="E2EADF6E"/>
    <w:lvl w:ilvl="0" w:tplc="04180001">
      <w:start w:val="1"/>
      <w:numFmt w:val="bullet"/>
      <w:lvlText w:val=""/>
      <w:lvlJc w:val="left"/>
      <w:pPr>
        <w:ind w:left="720" w:hanging="360"/>
      </w:pPr>
      <w:rPr>
        <w:rFonts w:ascii="Symbol" w:hAnsi="Symbo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E744F9"/>
    <w:multiLevelType w:val="hybridMultilevel"/>
    <w:tmpl w:val="7D6E4CF0"/>
    <w:lvl w:ilvl="0" w:tplc="02E0BFB8">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4F25616"/>
    <w:multiLevelType w:val="hybridMultilevel"/>
    <w:tmpl w:val="41607E38"/>
    <w:lvl w:ilvl="0" w:tplc="9CA2A1F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8AD73AD"/>
    <w:multiLevelType w:val="hybridMultilevel"/>
    <w:tmpl w:val="2D30D66C"/>
    <w:lvl w:ilvl="0" w:tplc="625606D4">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15:restartNumberingAfterBreak="0">
    <w:nsid w:val="3A92444C"/>
    <w:multiLevelType w:val="hybridMultilevel"/>
    <w:tmpl w:val="BE1E35FE"/>
    <w:lvl w:ilvl="0" w:tplc="04180007">
      <w:start w:val="1"/>
      <w:numFmt w:val="bullet"/>
      <w:lvlText w:val=""/>
      <w:lvlPicBulletId w:val="0"/>
      <w:lvlJc w:val="left"/>
      <w:pPr>
        <w:ind w:left="2229" w:hanging="360"/>
      </w:pPr>
      <w:rPr>
        <w:rFonts w:ascii="Symbol" w:hAnsi="Symbol" w:hint="default"/>
      </w:rPr>
    </w:lvl>
    <w:lvl w:ilvl="1" w:tplc="04180003" w:tentative="1">
      <w:start w:val="1"/>
      <w:numFmt w:val="bullet"/>
      <w:lvlText w:val="o"/>
      <w:lvlJc w:val="left"/>
      <w:pPr>
        <w:ind w:left="2949" w:hanging="360"/>
      </w:pPr>
      <w:rPr>
        <w:rFonts w:ascii="Courier New" w:hAnsi="Courier New" w:cs="Courier New" w:hint="default"/>
      </w:rPr>
    </w:lvl>
    <w:lvl w:ilvl="2" w:tplc="04180005" w:tentative="1">
      <w:start w:val="1"/>
      <w:numFmt w:val="bullet"/>
      <w:lvlText w:val=""/>
      <w:lvlJc w:val="left"/>
      <w:pPr>
        <w:ind w:left="3669" w:hanging="360"/>
      </w:pPr>
      <w:rPr>
        <w:rFonts w:ascii="Wingdings" w:hAnsi="Wingdings" w:hint="default"/>
      </w:rPr>
    </w:lvl>
    <w:lvl w:ilvl="3" w:tplc="04180001" w:tentative="1">
      <w:start w:val="1"/>
      <w:numFmt w:val="bullet"/>
      <w:lvlText w:val=""/>
      <w:lvlJc w:val="left"/>
      <w:pPr>
        <w:ind w:left="4389" w:hanging="360"/>
      </w:pPr>
      <w:rPr>
        <w:rFonts w:ascii="Symbol" w:hAnsi="Symbol" w:hint="default"/>
      </w:rPr>
    </w:lvl>
    <w:lvl w:ilvl="4" w:tplc="04180003" w:tentative="1">
      <w:start w:val="1"/>
      <w:numFmt w:val="bullet"/>
      <w:lvlText w:val="o"/>
      <w:lvlJc w:val="left"/>
      <w:pPr>
        <w:ind w:left="5109" w:hanging="360"/>
      </w:pPr>
      <w:rPr>
        <w:rFonts w:ascii="Courier New" w:hAnsi="Courier New" w:cs="Courier New" w:hint="default"/>
      </w:rPr>
    </w:lvl>
    <w:lvl w:ilvl="5" w:tplc="04180005" w:tentative="1">
      <w:start w:val="1"/>
      <w:numFmt w:val="bullet"/>
      <w:lvlText w:val=""/>
      <w:lvlJc w:val="left"/>
      <w:pPr>
        <w:ind w:left="5829" w:hanging="360"/>
      </w:pPr>
      <w:rPr>
        <w:rFonts w:ascii="Wingdings" w:hAnsi="Wingdings" w:hint="default"/>
      </w:rPr>
    </w:lvl>
    <w:lvl w:ilvl="6" w:tplc="04180001" w:tentative="1">
      <w:start w:val="1"/>
      <w:numFmt w:val="bullet"/>
      <w:lvlText w:val=""/>
      <w:lvlJc w:val="left"/>
      <w:pPr>
        <w:ind w:left="6549" w:hanging="360"/>
      </w:pPr>
      <w:rPr>
        <w:rFonts w:ascii="Symbol" w:hAnsi="Symbol" w:hint="default"/>
      </w:rPr>
    </w:lvl>
    <w:lvl w:ilvl="7" w:tplc="04180003" w:tentative="1">
      <w:start w:val="1"/>
      <w:numFmt w:val="bullet"/>
      <w:lvlText w:val="o"/>
      <w:lvlJc w:val="left"/>
      <w:pPr>
        <w:ind w:left="7269" w:hanging="360"/>
      </w:pPr>
      <w:rPr>
        <w:rFonts w:ascii="Courier New" w:hAnsi="Courier New" w:cs="Courier New" w:hint="default"/>
      </w:rPr>
    </w:lvl>
    <w:lvl w:ilvl="8" w:tplc="04180005" w:tentative="1">
      <w:start w:val="1"/>
      <w:numFmt w:val="bullet"/>
      <w:lvlText w:val=""/>
      <w:lvlJc w:val="left"/>
      <w:pPr>
        <w:ind w:left="7989" w:hanging="360"/>
      </w:pPr>
      <w:rPr>
        <w:rFonts w:ascii="Wingdings" w:hAnsi="Wingdings" w:hint="default"/>
      </w:rPr>
    </w:lvl>
  </w:abstractNum>
  <w:abstractNum w:abstractNumId="22" w15:restartNumberingAfterBreak="0">
    <w:nsid w:val="45477CEE"/>
    <w:multiLevelType w:val="hybridMultilevel"/>
    <w:tmpl w:val="11DCA0EC"/>
    <w:lvl w:ilvl="0" w:tplc="B52A9232">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3" w15:restartNumberingAfterBreak="0">
    <w:nsid w:val="45A331C2"/>
    <w:multiLevelType w:val="hybridMultilevel"/>
    <w:tmpl w:val="192631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70E32DD"/>
    <w:multiLevelType w:val="hybridMultilevel"/>
    <w:tmpl w:val="45C28810"/>
    <w:lvl w:ilvl="0" w:tplc="4FDAAFB6">
      <w:start w:val="10"/>
      <w:numFmt w:val="decimal"/>
      <w:lvlText w:val="%1."/>
      <w:lvlJc w:val="left"/>
      <w:pPr>
        <w:ind w:left="1494" w:hanging="360"/>
      </w:pPr>
      <w:rPr>
        <w:rFonts w:hint="default"/>
        <w:b/>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74C6735"/>
    <w:multiLevelType w:val="hybridMultilevel"/>
    <w:tmpl w:val="08B8C118"/>
    <w:lvl w:ilvl="0" w:tplc="750CC584">
      <w:numFmt w:val="bullet"/>
      <w:lvlText w:val="-"/>
      <w:lvlJc w:val="left"/>
      <w:pPr>
        <w:ind w:left="536" w:hanging="360"/>
      </w:pPr>
      <w:rPr>
        <w:rFonts w:ascii="Calibri" w:eastAsiaTheme="minorHAnsi" w:hAnsi="Calibri" w:cstheme="minorBidi" w:hint="default"/>
      </w:rPr>
    </w:lvl>
    <w:lvl w:ilvl="1" w:tplc="04180003" w:tentative="1">
      <w:start w:val="1"/>
      <w:numFmt w:val="bullet"/>
      <w:lvlText w:val="o"/>
      <w:lvlJc w:val="left"/>
      <w:pPr>
        <w:ind w:left="1256" w:hanging="360"/>
      </w:pPr>
      <w:rPr>
        <w:rFonts w:ascii="Courier New" w:hAnsi="Courier New" w:cs="Courier New" w:hint="default"/>
      </w:rPr>
    </w:lvl>
    <w:lvl w:ilvl="2" w:tplc="04180005" w:tentative="1">
      <w:start w:val="1"/>
      <w:numFmt w:val="bullet"/>
      <w:lvlText w:val=""/>
      <w:lvlJc w:val="left"/>
      <w:pPr>
        <w:ind w:left="1976" w:hanging="360"/>
      </w:pPr>
      <w:rPr>
        <w:rFonts w:ascii="Wingdings" w:hAnsi="Wingdings" w:hint="default"/>
      </w:rPr>
    </w:lvl>
    <w:lvl w:ilvl="3" w:tplc="04180001" w:tentative="1">
      <w:start w:val="1"/>
      <w:numFmt w:val="bullet"/>
      <w:lvlText w:val=""/>
      <w:lvlJc w:val="left"/>
      <w:pPr>
        <w:ind w:left="2696" w:hanging="360"/>
      </w:pPr>
      <w:rPr>
        <w:rFonts w:ascii="Symbol" w:hAnsi="Symbol" w:hint="default"/>
      </w:rPr>
    </w:lvl>
    <w:lvl w:ilvl="4" w:tplc="04180003" w:tentative="1">
      <w:start w:val="1"/>
      <w:numFmt w:val="bullet"/>
      <w:lvlText w:val="o"/>
      <w:lvlJc w:val="left"/>
      <w:pPr>
        <w:ind w:left="3416" w:hanging="360"/>
      </w:pPr>
      <w:rPr>
        <w:rFonts w:ascii="Courier New" w:hAnsi="Courier New" w:cs="Courier New" w:hint="default"/>
      </w:rPr>
    </w:lvl>
    <w:lvl w:ilvl="5" w:tplc="04180005" w:tentative="1">
      <w:start w:val="1"/>
      <w:numFmt w:val="bullet"/>
      <w:lvlText w:val=""/>
      <w:lvlJc w:val="left"/>
      <w:pPr>
        <w:ind w:left="4136" w:hanging="360"/>
      </w:pPr>
      <w:rPr>
        <w:rFonts w:ascii="Wingdings" w:hAnsi="Wingdings" w:hint="default"/>
      </w:rPr>
    </w:lvl>
    <w:lvl w:ilvl="6" w:tplc="04180001" w:tentative="1">
      <w:start w:val="1"/>
      <w:numFmt w:val="bullet"/>
      <w:lvlText w:val=""/>
      <w:lvlJc w:val="left"/>
      <w:pPr>
        <w:ind w:left="4856" w:hanging="360"/>
      </w:pPr>
      <w:rPr>
        <w:rFonts w:ascii="Symbol" w:hAnsi="Symbol" w:hint="default"/>
      </w:rPr>
    </w:lvl>
    <w:lvl w:ilvl="7" w:tplc="04180003" w:tentative="1">
      <w:start w:val="1"/>
      <w:numFmt w:val="bullet"/>
      <w:lvlText w:val="o"/>
      <w:lvlJc w:val="left"/>
      <w:pPr>
        <w:ind w:left="5576" w:hanging="360"/>
      </w:pPr>
      <w:rPr>
        <w:rFonts w:ascii="Courier New" w:hAnsi="Courier New" w:cs="Courier New" w:hint="default"/>
      </w:rPr>
    </w:lvl>
    <w:lvl w:ilvl="8" w:tplc="04180005" w:tentative="1">
      <w:start w:val="1"/>
      <w:numFmt w:val="bullet"/>
      <w:lvlText w:val=""/>
      <w:lvlJc w:val="left"/>
      <w:pPr>
        <w:ind w:left="6296" w:hanging="360"/>
      </w:pPr>
      <w:rPr>
        <w:rFonts w:ascii="Wingdings" w:hAnsi="Wingdings" w:hint="default"/>
      </w:rPr>
    </w:lvl>
  </w:abstractNum>
  <w:abstractNum w:abstractNumId="26" w15:restartNumberingAfterBreak="0">
    <w:nsid w:val="49755BA3"/>
    <w:multiLevelType w:val="hybridMultilevel"/>
    <w:tmpl w:val="152CB84E"/>
    <w:lvl w:ilvl="0" w:tplc="2AD6DE98">
      <w:start w:val="2"/>
      <w:numFmt w:val="bullet"/>
      <w:lvlText w:val="-"/>
      <w:lvlJc w:val="left"/>
      <w:pPr>
        <w:ind w:left="72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B7173E5"/>
    <w:multiLevelType w:val="hybridMultilevel"/>
    <w:tmpl w:val="436E29A6"/>
    <w:lvl w:ilvl="0" w:tplc="2E54A0C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6C64111"/>
    <w:multiLevelType w:val="hybridMultilevel"/>
    <w:tmpl w:val="190C5A70"/>
    <w:lvl w:ilvl="0" w:tplc="D08E62D6">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8F7424F"/>
    <w:multiLevelType w:val="hybridMultilevel"/>
    <w:tmpl w:val="1E82A0E4"/>
    <w:lvl w:ilvl="0" w:tplc="04180001">
      <w:start w:val="1"/>
      <w:numFmt w:val="bullet"/>
      <w:lvlText w:val=""/>
      <w:lvlJc w:val="left"/>
      <w:pPr>
        <w:ind w:left="1500" w:hanging="360"/>
      </w:pPr>
      <w:rPr>
        <w:rFonts w:ascii="Symbol" w:hAnsi="Symbol" w:hint="default"/>
      </w:rPr>
    </w:lvl>
    <w:lvl w:ilvl="1" w:tplc="04180003" w:tentative="1">
      <w:start w:val="1"/>
      <w:numFmt w:val="bullet"/>
      <w:lvlText w:val="o"/>
      <w:lvlJc w:val="left"/>
      <w:pPr>
        <w:ind w:left="2220" w:hanging="360"/>
      </w:pPr>
      <w:rPr>
        <w:rFonts w:ascii="Courier New" w:hAnsi="Courier New" w:cs="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cs="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cs="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30" w15:restartNumberingAfterBreak="0">
    <w:nsid w:val="5B587C77"/>
    <w:multiLevelType w:val="hybridMultilevel"/>
    <w:tmpl w:val="53704B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CE3B2E"/>
    <w:multiLevelType w:val="hybridMultilevel"/>
    <w:tmpl w:val="0FB4A7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5"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BFD6C8F"/>
    <w:multiLevelType w:val="hybridMultilevel"/>
    <w:tmpl w:val="BE8A52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C3973B5"/>
    <w:multiLevelType w:val="multilevel"/>
    <w:tmpl w:val="4DBC9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F05EFB"/>
    <w:multiLevelType w:val="hybridMultilevel"/>
    <w:tmpl w:val="4032329A"/>
    <w:lvl w:ilvl="0" w:tplc="04180001">
      <w:start w:val="1"/>
      <w:numFmt w:val="bullet"/>
      <w:lvlText w:val=""/>
      <w:lvlJc w:val="left"/>
      <w:pPr>
        <w:ind w:left="754" w:hanging="360"/>
      </w:pPr>
      <w:rPr>
        <w:rFonts w:ascii="Symbol" w:hAnsi="Symbol" w:hint="default"/>
      </w:rPr>
    </w:lvl>
    <w:lvl w:ilvl="1" w:tplc="04180003" w:tentative="1">
      <w:start w:val="1"/>
      <w:numFmt w:val="bullet"/>
      <w:lvlText w:val="o"/>
      <w:lvlJc w:val="left"/>
      <w:pPr>
        <w:ind w:left="1474" w:hanging="360"/>
      </w:pPr>
      <w:rPr>
        <w:rFonts w:ascii="Courier New" w:hAnsi="Courier New" w:cs="Courier New" w:hint="default"/>
      </w:rPr>
    </w:lvl>
    <w:lvl w:ilvl="2" w:tplc="04180005" w:tentative="1">
      <w:start w:val="1"/>
      <w:numFmt w:val="bullet"/>
      <w:lvlText w:val=""/>
      <w:lvlJc w:val="left"/>
      <w:pPr>
        <w:ind w:left="2194" w:hanging="360"/>
      </w:pPr>
      <w:rPr>
        <w:rFonts w:ascii="Wingdings" w:hAnsi="Wingdings" w:hint="default"/>
      </w:rPr>
    </w:lvl>
    <w:lvl w:ilvl="3" w:tplc="04180001" w:tentative="1">
      <w:start w:val="1"/>
      <w:numFmt w:val="bullet"/>
      <w:lvlText w:val=""/>
      <w:lvlJc w:val="left"/>
      <w:pPr>
        <w:ind w:left="2914" w:hanging="360"/>
      </w:pPr>
      <w:rPr>
        <w:rFonts w:ascii="Symbol" w:hAnsi="Symbol" w:hint="default"/>
      </w:rPr>
    </w:lvl>
    <w:lvl w:ilvl="4" w:tplc="04180003" w:tentative="1">
      <w:start w:val="1"/>
      <w:numFmt w:val="bullet"/>
      <w:lvlText w:val="o"/>
      <w:lvlJc w:val="left"/>
      <w:pPr>
        <w:ind w:left="3634" w:hanging="360"/>
      </w:pPr>
      <w:rPr>
        <w:rFonts w:ascii="Courier New" w:hAnsi="Courier New" w:cs="Courier New" w:hint="default"/>
      </w:rPr>
    </w:lvl>
    <w:lvl w:ilvl="5" w:tplc="04180005" w:tentative="1">
      <w:start w:val="1"/>
      <w:numFmt w:val="bullet"/>
      <w:lvlText w:val=""/>
      <w:lvlJc w:val="left"/>
      <w:pPr>
        <w:ind w:left="4354" w:hanging="360"/>
      </w:pPr>
      <w:rPr>
        <w:rFonts w:ascii="Wingdings" w:hAnsi="Wingdings" w:hint="default"/>
      </w:rPr>
    </w:lvl>
    <w:lvl w:ilvl="6" w:tplc="04180001" w:tentative="1">
      <w:start w:val="1"/>
      <w:numFmt w:val="bullet"/>
      <w:lvlText w:val=""/>
      <w:lvlJc w:val="left"/>
      <w:pPr>
        <w:ind w:left="5074" w:hanging="360"/>
      </w:pPr>
      <w:rPr>
        <w:rFonts w:ascii="Symbol" w:hAnsi="Symbol" w:hint="default"/>
      </w:rPr>
    </w:lvl>
    <w:lvl w:ilvl="7" w:tplc="04180003" w:tentative="1">
      <w:start w:val="1"/>
      <w:numFmt w:val="bullet"/>
      <w:lvlText w:val="o"/>
      <w:lvlJc w:val="left"/>
      <w:pPr>
        <w:ind w:left="5794" w:hanging="360"/>
      </w:pPr>
      <w:rPr>
        <w:rFonts w:ascii="Courier New" w:hAnsi="Courier New" w:cs="Courier New" w:hint="default"/>
      </w:rPr>
    </w:lvl>
    <w:lvl w:ilvl="8" w:tplc="04180005" w:tentative="1">
      <w:start w:val="1"/>
      <w:numFmt w:val="bullet"/>
      <w:lvlText w:val=""/>
      <w:lvlJc w:val="left"/>
      <w:pPr>
        <w:ind w:left="6514" w:hanging="360"/>
      </w:pPr>
      <w:rPr>
        <w:rFonts w:ascii="Wingdings" w:hAnsi="Wingdings" w:hint="default"/>
      </w:rPr>
    </w:lvl>
  </w:abstractNum>
  <w:abstractNum w:abstractNumId="39"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40" w15:restartNumberingAfterBreak="0">
    <w:nsid w:val="7F177247"/>
    <w:multiLevelType w:val="hybridMultilevel"/>
    <w:tmpl w:val="C9A8DC74"/>
    <w:lvl w:ilvl="0" w:tplc="A2122228">
      <w:numFmt w:val="bullet"/>
      <w:lvlText w:val="-"/>
      <w:lvlJc w:val="left"/>
      <w:pPr>
        <w:ind w:left="720" w:hanging="360"/>
      </w:pPr>
      <w:rPr>
        <w:rFonts w:ascii="Trebuchet MS" w:eastAsia="Times New Roman" w:hAnsi="Trebuchet MS"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39"/>
  </w:num>
  <w:num w:numId="3">
    <w:abstractNumId w:val="33"/>
  </w:num>
  <w:num w:numId="4">
    <w:abstractNumId w:val="6"/>
  </w:num>
  <w:num w:numId="5">
    <w:abstractNumId w:val="16"/>
  </w:num>
  <w:num w:numId="6">
    <w:abstractNumId w:val="35"/>
  </w:num>
  <w:num w:numId="7">
    <w:abstractNumId w:val="1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31"/>
  </w:num>
  <w:num w:numId="11">
    <w:abstractNumId w:val="19"/>
  </w:num>
  <w:num w:numId="12">
    <w:abstractNumId w:val="13"/>
  </w:num>
  <w:num w:numId="13">
    <w:abstractNumId w:val="9"/>
  </w:num>
  <w:num w:numId="14">
    <w:abstractNumId w:val="12"/>
  </w:num>
  <w:num w:numId="15">
    <w:abstractNumId w:val="22"/>
  </w:num>
  <w:num w:numId="16">
    <w:abstractNumId w:val="11"/>
  </w:num>
  <w:num w:numId="17">
    <w:abstractNumId w:val="5"/>
  </w:num>
  <w:num w:numId="18">
    <w:abstractNumId w:val="1"/>
  </w:num>
  <w:num w:numId="19">
    <w:abstractNumId w:val="24"/>
  </w:num>
  <w:num w:numId="20">
    <w:abstractNumId w:val="29"/>
  </w:num>
  <w:num w:numId="21">
    <w:abstractNumId w:val="15"/>
  </w:num>
  <w:num w:numId="22">
    <w:abstractNumId w:val="30"/>
  </w:num>
  <w:num w:numId="23">
    <w:abstractNumId w:val="28"/>
  </w:num>
  <w:num w:numId="24">
    <w:abstractNumId w:val="36"/>
  </w:num>
  <w:num w:numId="25">
    <w:abstractNumId w:val="7"/>
  </w:num>
  <w:num w:numId="26">
    <w:abstractNumId w:val="17"/>
  </w:num>
  <w:num w:numId="27">
    <w:abstractNumId w:val="26"/>
  </w:num>
  <w:num w:numId="28">
    <w:abstractNumId w:val="27"/>
  </w:num>
  <w:num w:numId="29">
    <w:abstractNumId w:val="37"/>
  </w:num>
  <w:num w:numId="30">
    <w:abstractNumId w:val="38"/>
  </w:num>
  <w:num w:numId="31">
    <w:abstractNumId w:val="21"/>
  </w:num>
  <w:num w:numId="32">
    <w:abstractNumId w:val="10"/>
  </w:num>
  <w:num w:numId="33">
    <w:abstractNumId w:val="2"/>
  </w:num>
  <w:num w:numId="34">
    <w:abstractNumId w:val="40"/>
  </w:num>
  <w:num w:numId="35">
    <w:abstractNumId w:val="32"/>
  </w:num>
  <w:num w:numId="36">
    <w:abstractNumId w:val="0"/>
  </w:num>
  <w:num w:numId="37">
    <w:abstractNumId w:val="23"/>
  </w:num>
  <w:num w:numId="38">
    <w:abstractNumId w:val="4"/>
  </w:num>
  <w:num w:numId="39">
    <w:abstractNumId w:val="20"/>
  </w:num>
  <w:num w:numId="40">
    <w:abstractNumId w:val="25"/>
  </w:num>
  <w:num w:numId="41">
    <w:abstractNumId w:val="8"/>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EA6"/>
    <w:rsid w:val="00000905"/>
    <w:rsid w:val="000019B6"/>
    <w:rsid w:val="00002E4A"/>
    <w:rsid w:val="000031A8"/>
    <w:rsid w:val="000040A1"/>
    <w:rsid w:val="000042B4"/>
    <w:rsid w:val="00005087"/>
    <w:rsid w:val="00005888"/>
    <w:rsid w:val="00006F20"/>
    <w:rsid w:val="0000707B"/>
    <w:rsid w:val="0001318A"/>
    <w:rsid w:val="00013621"/>
    <w:rsid w:val="00013A8E"/>
    <w:rsid w:val="0001442E"/>
    <w:rsid w:val="000155D5"/>
    <w:rsid w:val="000160F3"/>
    <w:rsid w:val="000179B9"/>
    <w:rsid w:val="00017D04"/>
    <w:rsid w:val="0002299E"/>
    <w:rsid w:val="00024F37"/>
    <w:rsid w:val="00025015"/>
    <w:rsid w:val="000260DD"/>
    <w:rsid w:val="000265F7"/>
    <w:rsid w:val="00026B13"/>
    <w:rsid w:val="00027469"/>
    <w:rsid w:val="00031D8D"/>
    <w:rsid w:val="0003205B"/>
    <w:rsid w:val="00035D17"/>
    <w:rsid w:val="000369EF"/>
    <w:rsid w:val="00040B7B"/>
    <w:rsid w:val="00040C9A"/>
    <w:rsid w:val="00043471"/>
    <w:rsid w:val="00043911"/>
    <w:rsid w:val="00044209"/>
    <w:rsid w:val="0004452D"/>
    <w:rsid w:val="0004511E"/>
    <w:rsid w:val="00046B44"/>
    <w:rsid w:val="000503A8"/>
    <w:rsid w:val="00054869"/>
    <w:rsid w:val="00054DF8"/>
    <w:rsid w:val="000563C0"/>
    <w:rsid w:val="00057629"/>
    <w:rsid w:val="00057EC8"/>
    <w:rsid w:val="00060E2F"/>
    <w:rsid w:val="00061E6F"/>
    <w:rsid w:val="0006216F"/>
    <w:rsid w:val="00062BA0"/>
    <w:rsid w:val="0006409E"/>
    <w:rsid w:val="00064A6B"/>
    <w:rsid w:val="00064E28"/>
    <w:rsid w:val="00070830"/>
    <w:rsid w:val="00073195"/>
    <w:rsid w:val="000733D3"/>
    <w:rsid w:val="000747A9"/>
    <w:rsid w:val="0007609F"/>
    <w:rsid w:val="00076C55"/>
    <w:rsid w:val="000808EE"/>
    <w:rsid w:val="00081475"/>
    <w:rsid w:val="00083DB6"/>
    <w:rsid w:val="00083EAF"/>
    <w:rsid w:val="00084396"/>
    <w:rsid w:val="00084EE5"/>
    <w:rsid w:val="00084F56"/>
    <w:rsid w:val="000850EC"/>
    <w:rsid w:val="00085904"/>
    <w:rsid w:val="00086114"/>
    <w:rsid w:val="00087383"/>
    <w:rsid w:val="00087C48"/>
    <w:rsid w:val="00090676"/>
    <w:rsid w:val="0009222E"/>
    <w:rsid w:val="00092376"/>
    <w:rsid w:val="0009320D"/>
    <w:rsid w:val="00094481"/>
    <w:rsid w:val="000949D2"/>
    <w:rsid w:val="00094AE3"/>
    <w:rsid w:val="00095300"/>
    <w:rsid w:val="0009621B"/>
    <w:rsid w:val="000A06E8"/>
    <w:rsid w:val="000A1EA6"/>
    <w:rsid w:val="000A437E"/>
    <w:rsid w:val="000A4DD9"/>
    <w:rsid w:val="000A5BAB"/>
    <w:rsid w:val="000A6298"/>
    <w:rsid w:val="000A71F1"/>
    <w:rsid w:val="000B036B"/>
    <w:rsid w:val="000B1818"/>
    <w:rsid w:val="000B264A"/>
    <w:rsid w:val="000B391A"/>
    <w:rsid w:val="000B3D76"/>
    <w:rsid w:val="000B4945"/>
    <w:rsid w:val="000B55D8"/>
    <w:rsid w:val="000B650E"/>
    <w:rsid w:val="000B665D"/>
    <w:rsid w:val="000B7506"/>
    <w:rsid w:val="000B753E"/>
    <w:rsid w:val="000C28A0"/>
    <w:rsid w:val="000C3277"/>
    <w:rsid w:val="000C3586"/>
    <w:rsid w:val="000C3625"/>
    <w:rsid w:val="000C4A4F"/>
    <w:rsid w:val="000C54A4"/>
    <w:rsid w:val="000C614B"/>
    <w:rsid w:val="000C7D63"/>
    <w:rsid w:val="000C7EAF"/>
    <w:rsid w:val="000C7EEC"/>
    <w:rsid w:val="000D0889"/>
    <w:rsid w:val="000D23B9"/>
    <w:rsid w:val="000D2B20"/>
    <w:rsid w:val="000D315E"/>
    <w:rsid w:val="000D403B"/>
    <w:rsid w:val="000D4132"/>
    <w:rsid w:val="000D4C09"/>
    <w:rsid w:val="000E0EA4"/>
    <w:rsid w:val="000E2B7E"/>
    <w:rsid w:val="000E2C2D"/>
    <w:rsid w:val="000E3A3E"/>
    <w:rsid w:val="000E3A58"/>
    <w:rsid w:val="000E440D"/>
    <w:rsid w:val="000E6C96"/>
    <w:rsid w:val="000E6FCF"/>
    <w:rsid w:val="000E74F5"/>
    <w:rsid w:val="000F01C4"/>
    <w:rsid w:val="000F26C2"/>
    <w:rsid w:val="000F40EF"/>
    <w:rsid w:val="000F6105"/>
    <w:rsid w:val="000F7896"/>
    <w:rsid w:val="00100251"/>
    <w:rsid w:val="00101926"/>
    <w:rsid w:val="00101A9B"/>
    <w:rsid w:val="001023B0"/>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175FA"/>
    <w:rsid w:val="00121CCC"/>
    <w:rsid w:val="001250F7"/>
    <w:rsid w:val="00125245"/>
    <w:rsid w:val="00126BBF"/>
    <w:rsid w:val="00127BF7"/>
    <w:rsid w:val="00130ADF"/>
    <w:rsid w:val="00131281"/>
    <w:rsid w:val="001313D8"/>
    <w:rsid w:val="0013230E"/>
    <w:rsid w:val="00132CE7"/>
    <w:rsid w:val="001338CB"/>
    <w:rsid w:val="00133A3B"/>
    <w:rsid w:val="0013619D"/>
    <w:rsid w:val="0013676D"/>
    <w:rsid w:val="00137A13"/>
    <w:rsid w:val="0014186B"/>
    <w:rsid w:val="001459BC"/>
    <w:rsid w:val="0014608E"/>
    <w:rsid w:val="0014728C"/>
    <w:rsid w:val="00147F0F"/>
    <w:rsid w:val="001500EA"/>
    <w:rsid w:val="00150A3E"/>
    <w:rsid w:val="00152085"/>
    <w:rsid w:val="001528E8"/>
    <w:rsid w:val="00153B2A"/>
    <w:rsid w:val="0015446A"/>
    <w:rsid w:val="001544DC"/>
    <w:rsid w:val="001555A4"/>
    <w:rsid w:val="00156180"/>
    <w:rsid w:val="0015762E"/>
    <w:rsid w:val="00157B5B"/>
    <w:rsid w:val="00160148"/>
    <w:rsid w:val="001604FF"/>
    <w:rsid w:val="00160F88"/>
    <w:rsid w:val="00161A61"/>
    <w:rsid w:val="00164F79"/>
    <w:rsid w:val="00164FF3"/>
    <w:rsid w:val="00165A07"/>
    <w:rsid w:val="00165C92"/>
    <w:rsid w:val="00165D17"/>
    <w:rsid w:val="00165D35"/>
    <w:rsid w:val="0016702F"/>
    <w:rsid w:val="0016785A"/>
    <w:rsid w:val="00167EF9"/>
    <w:rsid w:val="0017030A"/>
    <w:rsid w:val="00170D4E"/>
    <w:rsid w:val="00172493"/>
    <w:rsid w:val="00173986"/>
    <w:rsid w:val="0017630C"/>
    <w:rsid w:val="001774C7"/>
    <w:rsid w:val="001776C1"/>
    <w:rsid w:val="00177CD3"/>
    <w:rsid w:val="00177EC3"/>
    <w:rsid w:val="00180B7B"/>
    <w:rsid w:val="00181323"/>
    <w:rsid w:val="0018173D"/>
    <w:rsid w:val="00181DB6"/>
    <w:rsid w:val="00184061"/>
    <w:rsid w:val="001858C8"/>
    <w:rsid w:val="00187B39"/>
    <w:rsid w:val="0019189C"/>
    <w:rsid w:val="001919CC"/>
    <w:rsid w:val="0019387C"/>
    <w:rsid w:val="001945C9"/>
    <w:rsid w:val="001A0854"/>
    <w:rsid w:val="001A0AEA"/>
    <w:rsid w:val="001A1AA3"/>
    <w:rsid w:val="001A1AE5"/>
    <w:rsid w:val="001A1D31"/>
    <w:rsid w:val="001A2A6E"/>
    <w:rsid w:val="001A374F"/>
    <w:rsid w:val="001A4420"/>
    <w:rsid w:val="001A78A0"/>
    <w:rsid w:val="001A7C31"/>
    <w:rsid w:val="001B16A5"/>
    <w:rsid w:val="001B1912"/>
    <w:rsid w:val="001B1AD6"/>
    <w:rsid w:val="001B22D1"/>
    <w:rsid w:val="001B23D0"/>
    <w:rsid w:val="001B2B36"/>
    <w:rsid w:val="001B349E"/>
    <w:rsid w:val="001B3B27"/>
    <w:rsid w:val="001B4FE1"/>
    <w:rsid w:val="001B6DD8"/>
    <w:rsid w:val="001B7961"/>
    <w:rsid w:val="001C13DB"/>
    <w:rsid w:val="001C2EA5"/>
    <w:rsid w:val="001C33B5"/>
    <w:rsid w:val="001C3EF4"/>
    <w:rsid w:val="001C4735"/>
    <w:rsid w:val="001C55B8"/>
    <w:rsid w:val="001C6BF4"/>
    <w:rsid w:val="001C7510"/>
    <w:rsid w:val="001C7F48"/>
    <w:rsid w:val="001D0467"/>
    <w:rsid w:val="001D2A53"/>
    <w:rsid w:val="001D7448"/>
    <w:rsid w:val="001E058E"/>
    <w:rsid w:val="001E0BD4"/>
    <w:rsid w:val="001E0D0D"/>
    <w:rsid w:val="001E10D6"/>
    <w:rsid w:val="001E11B1"/>
    <w:rsid w:val="001E2092"/>
    <w:rsid w:val="001E236E"/>
    <w:rsid w:val="001E5470"/>
    <w:rsid w:val="001E55B3"/>
    <w:rsid w:val="001E67E7"/>
    <w:rsid w:val="001E69E4"/>
    <w:rsid w:val="001E6A4B"/>
    <w:rsid w:val="001E708B"/>
    <w:rsid w:val="001E7255"/>
    <w:rsid w:val="001E7E31"/>
    <w:rsid w:val="001F14A2"/>
    <w:rsid w:val="001F1E7E"/>
    <w:rsid w:val="001F418F"/>
    <w:rsid w:val="001F44D1"/>
    <w:rsid w:val="001F582E"/>
    <w:rsid w:val="001F6D5C"/>
    <w:rsid w:val="001F700D"/>
    <w:rsid w:val="001F7034"/>
    <w:rsid w:val="001F733F"/>
    <w:rsid w:val="00200720"/>
    <w:rsid w:val="0020304F"/>
    <w:rsid w:val="00203972"/>
    <w:rsid w:val="00210E9C"/>
    <w:rsid w:val="00211627"/>
    <w:rsid w:val="002116FE"/>
    <w:rsid w:val="002119DD"/>
    <w:rsid w:val="0021286D"/>
    <w:rsid w:val="00213877"/>
    <w:rsid w:val="00213BDB"/>
    <w:rsid w:val="002141AE"/>
    <w:rsid w:val="00214238"/>
    <w:rsid w:val="002153E2"/>
    <w:rsid w:val="00217238"/>
    <w:rsid w:val="00217BF3"/>
    <w:rsid w:val="00220BDB"/>
    <w:rsid w:val="00221987"/>
    <w:rsid w:val="00221B2B"/>
    <w:rsid w:val="00223491"/>
    <w:rsid w:val="00223AFB"/>
    <w:rsid w:val="00225653"/>
    <w:rsid w:val="002262AE"/>
    <w:rsid w:val="002269FE"/>
    <w:rsid w:val="00227A62"/>
    <w:rsid w:val="00230EAE"/>
    <w:rsid w:val="00231324"/>
    <w:rsid w:val="00231F26"/>
    <w:rsid w:val="00232ED4"/>
    <w:rsid w:val="0023360D"/>
    <w:rsid w:val="002337CA"/>
    <w:rsid w:val="00233A87"/>
    <w:rsid w:val="00233D49"/>
    <w:rsid w:val="0023404B"/>
    <w:rsid w:val="0023452B"/>
    <w:rsid w:val="00234703"/>
    <w:rsid w:val="002348DD"/>
    <w:rsid w:val="0023492E"/>
    <w:rsid w:val="00234AB0"/>
    <w:rsid w:val="00234B65"/>
    <w:rsid w:val="002354D3"/>
    <w:rsid w:val="00235558"/>
    <w:rsid w:val="002404DC"/>
    <w:rsid w:val="002404F7"/>
    <w:rsid w:val="00244CF8"/>
    <w:rsid w:val="00246E85"/>
    <w:rsid w:val="00250C5C"/>
    <w:rsid w:val="00251605"/>
    <w:rsid w:val="0025201B"/>
    <w:rsid w:val="00254A40"/>
    <w:rsid w:val="00255148"/>
    <w:rsid w:val="00256383"/>
    <w:rsid w:val="0025682E"/>
    <w:rsid w:val="00256DD8"/>
    <w:rsid w:val="00257AF0"/>
    <w:rsid w:val="00260E13"/>
    <w:rsid w:val="002623AD"/>
    <w:rsid w:val="00262462"/>
    <w:rsid w:val="0026264B"/>
    <w:rsid w:val="00262AAC"/>
    <w:rsid w:val="00262CFA"/>
    <w:rsid w:val="00267283"/>
    <w:rsid w:val="00267571"/>
    <w:rsid w:val="00271D4C"/>
    <w:rsid w:val="00272D53"/>
    <w:rsid w:val="0027308F"/>
    <w:rsid w:val="002753E4"/>
    <w:rsid w:val="002757B5"/>
    <w:rsid w:val="00275947"/>
    <w:rsid w:val="00275D3D"/>
    <w:rsid w:val="00276B03"/>
    <w:rsid w:val="0027750A"/>
    <w:rsid w:val="00280BAF"/>
    <w:rsid w:val="00282E65"/>
    <w:rsid w:val="00283DDB"/>
    <w:rsid w:val="00286173"/>
    <w:rsid w:val="002863AE"/>
    <w:rsid w:val="00286541"/>
    <w:rsid w:val="002869DC"/>
    <w:rsid w:val="00286DEC"/>
    <w:rsid w:val="00294152"/>
    <w:rsid w:val="0029430E"/>
    <w:rsid w:val="00294D46"/>
    <w:rsid w:val="00296D11"/>
    <w:rsid w:val="002A409A"/>
    <w:rsid w:val="002A41C3"/>
    <w:rsid w:val="002A4A4D"/>
    <w:rsid w:val="002A6848"/>
    <w:rsid w:val="002A6ABB"/>
    <w:rsid w:val="002A7775"/>
    <w:rsid w:val="002A78C8"/>
    <w:rsid w:val="002A79BF"/>
    <w:rsid w:val="002A7B24"/>
    <w:rsid w:val="002B2155"/>
    <w:rsid w:val="002B28B0"/>
    <w:rsid w:val="002B583C"/>
    <w:rsid w:val="002B5CD4"/>
    <w:rsid w:val="002B689E"/>
    <w:rsid w:val="002B7888"/>
    <w:rsid w:val="002C122C"/>
    <w:rsid w:val="002C129E"/>
    <w:rsid w:val="002C1C7F"/>
    <w:rsid w:val="002C3361"/>
    <w:rsid w:val="002C37C4"/>
    <w:rsid w:val="002C4610"/>
    <w:rsid w:val="002C5396"/>
    <w:rsid w:val="002C600C"/>
    <w:rsid w:val="002C65CA"/>
    <w:rsid w:val="002C6EEE"/>
    <w:rsid w:val="002D0080"/>
    <w:rsid w:val="002D2048"/>
    <w:rsid w:val="002D214D"/>
    <w:rsid w:val="002D3A08"/>
    <w:rsid w:val="002D3CFD"/>
    <w:rsid w:val="002D519D"/>
    <w:rsid w:val="002D63DE"/>
    <w:rsid w:val="002E20A6"/>
    <w:rsid w:val="002E22BC"/>
    <w:rsid w:val="002E3AFC"/>
    <w:rsid w:val="002E3BEE"/>
    <w:rsid w:val="002E5329"/>
    <w:rsid w:val="002E5723"/>
    <w:rsid w:val="002E5889"/>
    <w:rsid w:val="002E6018"/>
    <w:rsid w:val="002E6767"/>
    <w:rsid w:val="002E6BA8"/>
    <w:rsid w:val="002E7997"/>
    <w:rsid w:val="002E7E37"/>
    <w:rsid w:val="002F01BF"/>
    <w:rsid w:val="002F0CE9"/>
    <w:rsid w:val="002F1A5E"/>
    <w:rsid w:val="002F1A9F"/>
    <w:rsid w:val="002F2645"/>
    <w:rsid w:val="002F36E2"/>
    <w:rsid w:val="002F4425"/>
    <w:rsid w:val="002F665D"/>
    <w:rsid w:val="00300E1C"/>
    <w:rsid w:val="00302ADB"/>
    <w:rsid w:val="00302D6F"/>
    <w:rsid w:val="00302EF5"/>
    <w:rsid w:val="003034B1"/>
    <w:rsid w:val="00304361"/>
    <w:rsid w:val="00305061"/>
    <w:rsid w:val="0030581C"/>
    <w:rsid w:val="00305E5F"/>
    <w:rsid w:val="00306119"/>
    <w:rsid w:val="00310F95"/>
    <w:rsid w:val="00312439"/>
    <w:rsid w:val="003127E6"/>
    <w:rsid w:val="00312E6E"/>
    <w:rsid w:val="00312FF3"/>
    <w:rsid w:val="003138A1"/>
    <w:rsid w:val="00314AD9"/>
    <w:rsid w:val="00315CB8"/>
    <w:rsid w:val="00317600"/>
    <w:rsid w:val="003179ED"/>
    <w:rsid w:val="00320940"/>
    <w:rsid w:val="00322480"/>
    <w:rsid w:val="00324260"/>
    <w:rsid w:val="00324785"/>
    <w:rsid w:val="00324938"/>
    <w:rsid w:val="00325BC3"/>
    <w:rsid w:val="003278FD"/>
    <w:rsid w:val="00330048"/>
    <w:rsid w:val="0033048A"/>
    <w:rsid w:val="003316B4"/>
    <w:rsid w:val="00332715"/>
    <w:rsid w:val="00332FEB"/>
    <w:rsid w:val="00333AB9"/>
    <w:rsid w:val="003357CA"/>
    <w:rsid w:val="00335C69"/>
    <w:rsid w:val="003456BD"/>
    <w:rsid w:val="00345C6D"/>
    <w:rsid w:val="0034765C"/>
    <w:rsid w:val="003543EA"/>
    <w:rsid w:val="003545B2"/>
    <w:rsid w:val="003547E5"/>
    <w:rsid w:val="0035521E"/>
    <w:rsid w:val="00355320"/>
    <w:rsid w:val="00355C12"/>
    <w:rsid w:val="00356457"/>
    <w:rsid w:val="003569BD"/>
    <w:rsid w:val="00357FC9"/>
    <w:rsid w:val="00360584"/>
    <w:rsid w:val="003605E7"/>
    <w:rsid w:val="0036135D"/>
    <w:rsid w:val="00365A86"/>
    <w:rsid w:val="00365DE7"/>
    <w:rsid w:val="003668CF"/>
    <w:rsid w:val="003702D9"/>
    <w:rsid w:val="00373279"/>
    <w:rsid w:val="0037559F"/>
    <w:rsid w:val="00375B28"/>
    <w:rsid w:val="0037675E"/>
    <w:rsid w:val="00377E94"/>
    <w:rsid w:val="00381090"/>
    <w:rsid w:val="00381CD7"/>
    <w:rsid w:val="003820AA"/>
    <w:rsid w:val="00385BC3"/>
    <w:rsid w:val="003864F6"/>
    <w:rsid w:val="00390E31"/>
    <w:rsid w:val="00391737"/>
    <w:rsid w:val="003917E3"/>
    <w:rsid w:val="0039344D"/>
    <w:rsid w:val="00393638"/>
    <w:rsid w:val="00396A04"/>
    <w:rsid w:val="00397570"/>
    <w:rsid w:val="003A3349"/>
    <w:rsid w:val="003A367D"/>
    <w:rsid w:val="003A6698"/>
    <w:rsid w:val="003A7570"/>
    <w:rsid w:val="003A7CA2"/>
    <w:rsid w:val="003A7CC0"/>
    <w:rsid w:val="003B02B3"/>
    <w:rsid w:val="003B0C77"/>
    <w:rsid w:val="003B2329"/>
    <w:rsid w:val="003B3A2C"/>
    <w:rsid w:val="003B3F0B"/>
    <w:rsid w:val="003B424D"/>
    <w:rsid w:val="003B68CD"/>
    <w:rsid w:val="003B6E10"/>
    <w:rsid w:val="003C1670"/>
    <w:rsid w:val="003C19BF"/>
    <w:rsid w:val="003C4D24"/>
    <w:rsid w:val="003C56CF"/>
    <w:rsid w:val="003C581E"/>
    <w:rsid w:val="003C6B82"/>
    <w:rsid w:val="003C6D3A"/>
    <w:rsid w:val="003D092D"/>
    <w:rsid w:val="003D4A34"/>
    <w:rsid w:val="003D6235"/>
    <w:rsid w:val="003E080A"/>
    <w:rsid w:val="003E0917"/>
    <w:rsid w:val="003E358F"/>
    <w:rsid w:val="003E5FF2"/>
    <w:rsid w:val="003F046A"/>
    <w:rsid w:val="003F10F8"/>
    <w:rsid w:val="003F2A4C"/>
    <w:rsid w:val="003F4EA4"/>
    <w:rsid w:val="003F5CF6"/>
    <w:rsid w:val="003F6ACA"/>
    <w:rsid w:val="003F7AF4"/>
    <w:rsid w:val="0040003B"/>
    <w:rsid w:val="004005AC"/>
    <w:rsid w:val="004007BE"/>
    <w:rsid w:val="00402A15"/>
    <w:rsid w:val="0040434F"/>
    <w:rsid w:val="004049B7"/>
    <w:rsid w:val="00405F21"/>
    <w:rsid w:val="00406B07"/>
    <w:rsid w:val="00406D57"/>
    <w:rsid w:val="00406FBE"/>
    <w:rsid w:val="0041039C"/>
    <w:rsid w:val="00414151"/>
    <w:rsid w:val="004162F1"/>
    <w:rsid w:val="00420ED9"/>
    <w:rsid w:val="0042197D"/>
    <w:rsid w:val="00421F2F"/>
    <w:rsid w:val="0042241F"/>
    <w:rsid w:val="00423783"/>
    <w:rsid w:val="004248D9"/>
    <w:rsid w:val="00425D30"/>
    <w:rsid w:val="00426482"/>
    <w:rsid w:val="004268A6"/>
    <w:rsid w:val="00427CE2"/>
    <w:rsid w:val="00427F3B"/>
    <w:rsid w:val="00433C33"/>
    <w:rsid w:val="00434D7D"/>
    <w:rsid w:val="004353EE"/>
    <w:rsid w:val="00435A81"/>
    <w:rsid w:val="00435F83"/>
    <w:rsid w:val="004362A6"/>
    <w:rsid w:val="00440136"/>
    <w:rsid w:val="004401C4"/>
    <w:rsid w:val="0044259A"/>
    <w:rsid w:val="0044327F"/>
    <w:rsid w:val="0044348E"/>
    <w:rsid w:val="004449A8"/>
    <w:rsid w:val="0044580A"/>
    <w:rsid w:val="00445A50"/>
    <w:rsid w:val="00446A81"/>
    <w:rsid w:val="00446B21"/>
    <w:rsid w:val="00446C51"/>
    <w:rsid w:val="004472F0"/>
    <w:rsid w:val="004516D9"/>
    <w:rsid w:val="00454D72"/>
    <w:rsid w:val="004555DD"/>
    <w:rsid w:val="00455719"/>
    <w:rsid w:val="004561E9"/>
    <w:rsid w:val="004562CD"/>
    <w:rsid w:val="0045656F"/>
    <w:rsid w:val="00456611"/>
    <w:rsid w:val="00460CE3"/>
    <w:rsid w:val="00461DC3"/>
    <w:rsid w:val="0046232C"/>
    <w:rsid w:val="0046279C"/>
    <w:rsid w:val="00462C37"/>
    <w:rsid w:val="00463434"/>
    <w:rsid w:val="00463E98"/>
    <w:rsid w:val="00464AED"/>
    <w:rsid w:val="0046568A"/>
    <w:rsid w:val="00471289"/>
    <w:rsid w:val="00472882"/>
    <w:rsid w:val="00472B9B"/>
    <w:rsid w:val="00473382"/>
    <w:rsid w:val="00473DA2"/>
    <w:rsid w:val="00475C30"/>
    <w:rsid w:val="0047623C"/>
    <w:rsid w:val="0047738F"/>
    <w:rsid w:val="00477DA1"/>
    <w:rsid w:val="004803F0"/>
    <w:rsid w:val="004806BE"/>
    <w:rsid w:val="00481A82"/>
    <w:rsid w:val="0048584F"/>
    <w:rsid w:val="0048629C"/>
    <w:rsid w:val="00486DF5"/>
    <w:rsid w:val="0049197C"/>
    <w:rsid w:val="00492D8F"/>
    <w:rsid w:val="00493464"/>
    <w:rsid w:val="004939DF"/>
    <w:rsid w:val="004953D2"/>
    <w:rsid w:val="0049586B"/>
    <w:rsid w:val="00495918"/>
    <w:rsid w:val="00495B40"/>
    <w:rsid w:val="00497C5D"/>
    <w:rsid w:val="004A2289"/>
    <w:rsid w:val="004A26E1"/>
    <w:rsid w:val="004A39EE"/>
    <w:rsid w:val="004A51ED"/>
    <w:rsid w:val="004A6AF0"/>
    <w:rsid w:val="004A6FCC"/>
    <w:rsid w:val="004B13DF"/>
    <w:rsid w:val="004B1759"/>
    <w:rsid w:val="004B1ABD"/>
    <w:rsid w:val="004B23FC"/>
    <w:rsid w:val="004B254E"/>
    <w:rsid w:val="004B3C0A"/>
    <w:rsid w:val="004B3F38"/>
    <w:rsid w:val="004B5EB3"/>
    <w:rsid w:val="004B64A6"/>
    <w:rsid w:val="004B7202"/>
    <w:rsid w:val="004B7CAD"/>
    <w:rsid w:val="004C0501"/>
    <w:rsid w:val="004C0503"/>
    <w:rsid w:val="004C07F9"/>
    <w:rsid w:val="004C103A"/>
    <w:rsid w:val="004C1092"/>
    <w:rsid w:val="004C1338"/>
    <w:rsid w:val="004C6425"/>
    <w:rsid w:val="004C7417"/>
    <w:rsid w:val="004D1B68"/>
    <w:rsid w:val="004D1FC0"/>
    <w:rsid w:val="004D210B"/>
    <w:rsid w:val="004D24D3"/>
    <w:rsid w:val="004D279E"/>
    <w:rsid w:val="004D27EE"/>
    <w:rsid w:val="004D5739"/>
    <w:rsid w:val="004D5BA3"/>
    <w:rsid w:val="004D6ABC"/>
    <w:rsid w:val="004E1034"/>
    <w:rsid w:val="004E13AF"/>
    <w:rsid w:val="004E2CA0"/>
    <w:rsid w:val="004E40FD"/>
    <w:rsid w:val="004E789F"/>
    <w:rsid w:val="004F0E4B"/>
    <w:rsid w:val="004F1FFD"/>
    <w:rsid w:val="004F49AA"/>
    <w:rsid w:val="004F521A"/>
    <w:rsid w:val="004F551E"/>
    <w:rsid w:val="004F5BE8"/>
    <w:rsid w:val="005005B8"/>
    <w:rsid w:val="0050109F"/>
    <w:rsid w:val="00503B06"/>
    <w:rsid w:val="00505AF3"/>
    <w:rsid w:val="005066F6"/>
    <w:rsid w:val="005144FA"/>
    <w:rsid w:val="00515920"/>
    <w:rsid w:val="00515AD8"/>
    <w:rsid w:val="00515DE0"/>
    <w:rsid w:val="00517CC4"/>
    <w:rsid w:val="00520345"/>
    <w:rsid w:val="00520BE3"/>
    <w:rsid w:val="00522A8B"/>
    <w:rsid w:val="0052442F"/>
    <w:rsid w:val="00524BB2"/>
    <w:rsid w:val="00527866"/>
    <w:rsid w:val="00530AC8"/>
    <w:rsid w:val="0053145E"/>
    <w:rsid w:val="0053190B"/>
    <w:rsid w:val="005338D3"/>
    <w:rsid w:val="00533DD2"/>
    <w:rsid w:val="00533E19"/>
    <w:rsid w:val="00534640"/>
    <w:rsid w:val="0053559E"/>
    <w:rsid w:val="0053566B"/>
    <w:rsid w:val="00537B78"/>
    <w:rsid w:val="00540381"/>
    <w:rsid w:val="00542411"/>
    <w:rsid w:val="00543A0A"/>
    <w:rsid w:val="005444AB"/>
    <w:rsid w:val="00546B5F"/>
    <w:rsid w:val="00547759"/>
    <w:rsid w:val="005514F5"/>
    <w:rsid w:val="00552EB0"/>
    <w:rsid w:val="00554716"/>
    <w:rsid w:val="00554DB8"/>
    <w:rsid w:val="00555D3D"/>
    <w:rsid w:val="00561326"/>
    <w:rsid w:val="00561803"/>
    <w:rsid w:val="00562652"/>
    <w:rsid w:val="0056358F"/>
    <w:rsid w:val="005649C0"/>
    <w:rsid w:val="00565752"/>
    <w:rsid w:val="00566969"/>
    <w:rsid w:val="00566EBF"/>
    <w:rsid w:val="00571569"/>
    <w:rsid w:val="005742C3"/>
    <w:rsid w:val="00575BCE"/>
    <w:rsid w:val="0057730A"/>
    <w:rsid w:val="00577623"/>
    <w:rsid w:val="0058155C"/>
    <w:rsid w:val="00582047"/>
    <w:rsid w:val="00583D6C"/>
    <w:rsid w:val="00584568"/>
    <w:rsid w:val="00584BC8"/>
    <w:rsid w:val="00586890"/>
    <w:rsid w:val="00587807"/>
    <w:rsid w:val="00587CCB"/>
    <w:rsid w:val="00591469"/>
    <w:rsid w:val="005916EA"/>
    <w:rsid w:val="0059238F"/>
    <w:rsid w:val="00592F72"/>
    <w:rsid w:val="00595C2D"/>
    <w:rsid w:val="005966F6"/>
    <w:rsid w:val="00596CE8"/>
    <w:rsid w:val="0059789A"/>
    <w:rsid w:val="00597910"/>
    <w:rsid w:val="005A133E"/>
    <w:rsid w:val="005A13C5"/>
    <w:rsid w:val="005A1B09"/>
    <w:rsid w:val="005A1D6C"/>
    <w:rsid w:val="005A2F37"/>
    <w:rsid w:val="005A2FF2"/>
    <w:rsid w:val="005A47ED"/>
    <w:rsid w:val="005A506E"/>
    <w:rsid w:val="005A538B"/>
    <w:rsid w:val="005A5A3E"/>
    <w:rsid w:val="005A5D29"/>
    <w:rsid w:val="005A7989"/>
    <w:rsid w:val="005B02AB"/>
    <w:rsid w:val="005B17BE"/>
    <w:rsid w:val="005B18ED"/>
    <w:rsid w:val="005B31F7"/>
    <w:rsid w:val="005B340B"/>
    <w:rsid w:val="005B3992"/>
    <w:rsid w:val="005B58FF"/>
    <w:rsid w:val="005B68C3"/>
    <w:rsid w:val="005B716F"/>
    <w:rsid w:val="005C055D"/>
    <w:rsid w:val="005C204E"/>
    <w:rsid w:val="005C22D6"/>
    <w:rsid w:val="005C2F53"/>
    <w:rsid w:val="005C5DD4"/>
    <w:rsid w:val="005C6F65"/>
    <w:rsid w:val="005D0029"/>
    <w:rsid w:val="005D05C7"/>
    <w:rsid w:val="005D33F6"/>
    <w:rsid w:val="005D3847"/>
    <w:rsid w:val="005D4320"/>
    <w:rsid w:val="005D4B0F"/>
    <w:rsid w:val="005D4F6E"/>
    <w:rsid w:val="005D519D"/>
    <w:rsid w:val="005D66B3"/>
    <w:rsid w:val="005D6B6E"/>
    <w:rsid w:val="005E24DC"/>
    <w:rsid w:val="005E28B9"/>
    <w:rsid w:val="005E318B"/>
    <w:rsid w:val="005E34BD"/>
    <w:rsid w:val="005E494D"/>
    <w:rsid w:val="005E4FE2"/>
    <w:rsid w:val="005E662E"/>
    <w:rsid w:val="005E6BD7"/>
    <w:rsid w:val="005E71B7"/>
    <w:rsid w:val="005F0EF5"/>
    <w:rsid w:val="005F27A0"/>
    <w:rsid w:val="005F2815"/>
    <w:rsid w:val="005F281E"/>
    <w:rsid w:val="005F3CF4"/>
    <w:rsid w:val="005F4E85"/>
    <w:rsid w:val="005F5D27"/>
    <w:rsid w:val="005F6E40"/>
    <w:rsid w:val="005F7B8F"/>
    <w:rsid w:val="00601913"/>
    <w:rsid w:val="00603CE7"/>
    <w:rsid w:val="0060421A"/>
    <w:rsid w:val="00607D01"/>
    <w:rsid w:val="00611340"/>
    <w:rsid w:val="00611644"/>
    <w:rsid w:val="0061330D"/>
    <w:rsid w:val="00614728"/>
    <w:rsid w:val="00615AA1"/>
    <w:rsid w:val="00615FE9"/>
    <w:rsid w:val="006161B1"/>
    <w:rsid w:val="006174FC"/>
    <w:rsid w:val="0062007D"/>
    <w:rsid w:val="006234A3"/>
    <w:rsid w:val="006235C1"/>
    <w:rsid w:val="00623B34"/>
    <w:rsid w:val="00624E3D"/>
    <w:rsid w:val="006259CC"/>
    <w:rsid w:val="0062611E"/>
    <w:rsid w:val="0063053C"/>
    <w:rsid w:val="00630829"/>
    <w:rsid w:val="006308CD"/>
    <w:rsid w:val="006314DE"/>
    <w:rsid w:val="00634816"/>
    <w:rsid w:val="00634CC1"/>
    <w:rsid w:val="00635197"/>
    <w:rsid w:val="0063636E"/>
    <w:rsid w:val="006363AA"/>
    <w:rsid w:val="0063661B"/>
    <w:rsid w:val="0063758C"/>
    <w:rsid w:val="00637985"/>
    <w:rsid w:val="00642FB2"/>
    <w:rsid w:val="00643DFD"/>
    <w:rsid w:val="0064474A"/>
    <w:rsid w:val="006449AD"/>
    <w:rsid w:val="00644A56"/>
    <w:rsid w:val="00644DAA"/>
    <w:rsid w:val="00645209"/>
    <w:rsid w:val="00646267"/>
    <w:rsid w:val="00646797"/>
    <w:rsid w:val="006467F1"/>
    <w:rsid w:val="00646A8A"/>
    <w:rsid w:val="00647401"/>
    <w:rsid w:val="0064777F"/>
    <w:rsid w:val="00647931"/>
    <w:rsid w:val="00650169"/>
    <w:rsid w:val="00652918"/>
    <w:rsid w:val="00652E1B"/>
    <w:rsid w:val="00652E45"/>
    <w:rsid w:val="00653F32"/>
    <w:rsid w:val="006556FA"/>
    <w:rsid w:val="00656BD4"/>
    <w:rsid w:val="00657250"/>
    <w:rsid w:val="006600DC"/>
    <w:rsid w:val="00660605"/>
    <w:rsid w:val="006622B7"/>
    <w:rsid w:val="00662E0D"/>
    <w:rsid w:val="0066383C"/>
    <w:rsid w:val="0066428B"/>
    <w:rsid w:val="00664C4E"/>
    <w:rsid w:val="00665BFE"/>
    <w:rsid w:val="006668A3"/>
    <w:rsid w:val="00670C79"/>
    <w:rsid w:val="00670DA7"/>
    <w:rsid w:val="00671536"/>
    <w:rsid w:val="006725F2"/>
    <w:rsid w:val="006727A4"/>
    <w:rsid w:val="0067280E"/>
    <w:rsid w:val="0067373F"/>
    <w:rsid w:val="006737CE"/>
    <w:rsid w:val="00674168"/>
    <w:rsid w:val="00674D58"/>
    <w:rsid w:val="00674E7A"/>
    <w:rsid w:val="0067569B"/>
    <w:rsid w:val="0067605E"/>
    <w:rsid w:val="00677B92"/>
    <w:rsid w:val="00680184"/>
    <w:rsid w:val="00680196"/>
    <w:rsid w:val="006801F0"/>
    <w:rsid w:val="006803EA"/>
    <w:rsid w:val="006813E4"/>
    <w:rsid w:val="00683D39"/>
    <w:rsid w:val="00684125"/>
    <w:rsid w:val="00687A8C"/>
    <w:rsid w:val="00693450"/>
    <w:rsid w:val="00695912"/>
    <w:rsid w:val="00696435"/>
    <w:rsid w:val="006964C3"/>
    <w:rsid w:val="00697C9C"/>
    <w:rsid w:val="006A05F8"/>
    <w:rsid w:val="006A36C9"/>
    <w:rsid w:val="006A53C9"/>
    <w:rsid w:val="006B0230"/>
    <w:rsid w:val="006B075E"/>
    <w:rsid w:val="006B0F3D"/>
    <w:rsid w:val="006B135C"/>
    <w:rsid w:val="006B328A"/>
    <w:rsid w:val="006B45F3"/>
    <w:rsid w:val="006B62C0"/>
    <w:rsid w:val="006C1EBB"/>
    <w:rsid w:val="006C28DB"/>
    <w:rsid w:val="006C3986"/>
    <w:rsid w:val="006C4F78"/>
    <w:rsid w:val="006C63AE"/>
    <w:rsid w:val="006C63C2"/>
    <w:rsid w:val="006C711B"/>
    <w:rsid w:val="006C7FD9"/>
    <w:rsid w:val="006D07D6"/>
    <w:rsid w:val="006D09F8"/>
    <w:rsid w:val="006D2138"/>
    <w:rsid w:val="006D37D0"/>
    <w:rsid w:val="006D46B5"/>
    <w:rsid w:val="006D52AD"/>
    <w:rsid w:val="006E1DDD"/>
    <w:rsid w:val="006E2424"/>
    <w:rsid w:val="006E48E4"/>
    <w:rsid w:val="006E4FBF"/>
    <w:rsid w:val="006E6287"/>
    <w:rsid w:val="006E718D"/>
    <w:rsid w:val="006E7C08"/>
    <w:rsid w:val="006E7FCB"/>
    <w:rsid w:val="006F1F12"/>
    <w:rsid w:val="006F28C3"/>
    <w:rsid w:val="006F2A8A"/>
    <w:rsid w:val="006F2F9D"/>
    <w:rsid w:val="006F350D"/>
    <w:rsid w:val="006F3F80"/>
    <w:rsid w:val="006F4543"/>
    <w:rsid w:val="006F57C0"/>
    <w:rsid w:val="006F66B1"/>
    <w:rsid w:val="006F72EC"/>
    <w:rsid w:val="006F7D98"/>
    <w:rsid w:val="0070042E"/>
    <w:rsid w:val="007023EC"/>
    <w:rsid w:val="007050B8"/>
    <w:rsid w:val="00705208"/>
    <w:rsid w:val="00705F15"/>
    <w:rsid w:val="00707145"/>
    <w:rsid w:val="00707949"/>
    <w:rsid w:val="0071097E"/>
    <w:rsid w:val="007118D7"/>
    <w:rsid w:val="00712405"/>
    <w:rsid w:val="00712EA4"/>
    <w:rsid w:val="00713515"/>
    <w:rsid w:val="00720217"/>
    <w:rsid w:val="00721E13"/>
    <w:rsid w:val="00721F71"/>
    <w:rsid w:val="00722121"/>
    <w:rsid w:val="00723783"/>
    <w:rsid w:val="00723AC4"/>
    <w:rsid w:val="00723BA7"/>
    <w:rsid w:val="00723E83"/>
    <w:rsid w:val="0072479B"/>
    <w:rsid w:val="00724EF9"/>
    <w:rsid w:val="0072598F"/>
    <w:rsid w:val="00725A79"/>
    <w:rsid w:val="007263F0"/>
    <w:rsid w:val="00726A7A"/>
    <w:rsid w:val="00726D70"/>
    <w:rsid w:val="00727AF1"/>
    <w:rsid w:val="00727BB5"/>
    <w:rsid w:val="00727F76"/>
    <w:rsid w:val="00730AD6"/>
    <w:rsid w:val="007314E7"/>
    <w:rsid w:val="00735154"/>
    <w:rsid w:val="007359E9"/>
    <w:rsid w:val="00736318"/>
    <w:rsid w:val="00741AA7"/>
    <w:rsid w:val="00742BEF"/>
    <w:rsid w:val="00743134"/>
    <w:rsid w:val="0074315A"/>
    <w:rsid w:val="007446A7"/>
    <w:rsid w:val="007478F2"/>
    <w:rsid w:val="00752B06"/>
    <w:rsid w:val="007578D3"/>
    <w:rsid w:val="00757DD1"/>
    <w:rsid w:val="00757F29"/>
    <w:rsid w:val="007600AE"/>
    <w:rsid w:val="00760101"/>
    <w:rsid w:val="00760C9F"/>
    <w:rsid w:val="0076289B"/>
    <w:rsid w:val="00763CC1"/>
    <w:rsid w:val="007640CC"/>
    <w:rsid w:val="007642C7"/>
    <w:rsid w:val="00764804"/>
    <w:rsid w:val="007678A9"/>
    <w:rsid w:val="00767EE4"/>
    <w:rsid w:val="00770E01"/>
    <w:rsid w:val="00771678"/>
    <w:rsid w:val="00771F93"/>
    <w:rsid w:val="00774611"/>
    <w:rsid w:val="0077582F"/>
    <w:rsid w:val="00775875"/>
    <w:rsid w:val="0078437B"/>
    <w:rsid w:val="00784848"/>
    <w:rsid w:val="00784A78"/>
    <w:rsid w:val="00784C56"/>
    <w:rsid w:val="00785492"/>
    <w:rsid w:val="00786699"/>
    <w:rsid w:val="007872E4"/>
    <w:rsid w:val="00787457"/>
    <w:rsid w:val="00787A65"/>
    <w:rsid w:val="007912A9"/>
    <w:rsid w:val="007928CE"/>
    <w:rsid w:val="00793B14"/>
    <w:rsid w:val="007949E0"/>
    <w:rsid w:val="00794CB0"/>
    <w:rsid w:val="00795327"/>
    <w:rsid w:val="00795ECB"/>
    <w:rsid w:val="00797A35"/>
    <w:rsid w:val="007A092D"/>
    <w:rsid w:val="007A20E4"/>
    <w:rsid w:val="007A28A7"/>
    <w:rsid w:val="007A294C"/>
    <w:rsid w:val="007A355E"/>
    <w:rsid w:val="007A38DD"/>
    <w:rsid w:val="007A4087"/>
    <w:rsid w:val="007A506B"/>
    <w:rsid w:val="007A5914"/>
    <w:rsid w:val="007A59A8"/>
    <w:rsid w:val="007A5DF7"/>
    <w:rsid w:val="007B37F8"/>
    <w:rsid w:val="007B5C1D"/>
    <w:rsid w:val="007B66A7"/>
    <w:rsid w:val="007C16BF"/>
    <w:rsid w:val="007C358C"/>
    <w:rsid w:val="007C391F"/>
    <w:rsid w:val="007C3CB1"/>
    <w:rsid w:val="007C620B"/>
    <w:rsid w:val="007D1532"/>
    <w:rsid w:val="007D26F6"/>
    <w:rsid w:val="007D383B"/>
    <w:rsid w:val="007D59C7"/>
    <w:rsid w:val="007D5B0F"/>
    <w:rsid w:val="007D6883"/>
    <w:rsid w:val="007D6BE6"/>
    <w:rsid w:val="007D7036"/>
    <w:rsid w:val="007E2B3E"/>
    <w:rsid w:val="007E2F46"/>
    <w:rsid w:val="007E315C"/>
    <w:rsid w:val="007E3C6D"/>
    <w:rsid w:val="007E6689"/>
    <w:rsid w:val="007E6A45"/>
    <w:rsid w:val="007E6D8E"/>
    <w:rsid w:val="007E7000"/>
    <w:rsid w:val="007F14F5"/>
    <w:rsid w:val="007F5666"/>
    <w:rsid w:val="007F7226"/>
    <w:rsid w:val="007F7F61"/>
    <w:rsid w:val="0080159B"/>
    <w:rsid w:val="00801F63"/>
    <w:rsid w:val="008041B9"/>
    <w:rsid w:val="008042E9"/>
    <w:rsid w:val="0080435E"/>
    <w:rsid w:val="00805594"/>
    <w:rsid w:val="00806A0E"/>
    <w:rsid w:val="00810336"/>
    <w:rsid w:val="00812587"/>
    <w:rsid w:val="00812CEF"/>
    <w:rsid w:val="00812D44"/>
    <w:rsid w:val="00812F1A"/>
    <w:rsid w:val="008147DC"/>
    <w:rsid w:val="00816500"/>
    <w:rsid w:val="0081790A"/>
    <w:rsid w:val="00820027"/>
    <w:rsid w:val="00820EC8"/>
    <w:rsid w:val="00821135"/>
    <w:rsid w:val="00821A2E"/>
    <w:rsid w:val="00821E21"/>
    <w:rsid w:val="00822951"/>
    <w:rsid w:val="00823B75"/>
    <w:rsid w:val="00823B92"/>
    <w:rsid w:val="00824F0E"/>
    <w:rsid w:val="008259E4"/>
    <w:rsid w:val="00826EED"/>
    <w:rsid w:val="00827D34"/>
    <w:rsid w:val="00830CBA"/>
    <w:rsid w:val="00831008"/>
    <w:rsid w:val="008311B3"/>
    <w:rsid w:val="008324CD"/>
    <w:rsid w:val="0083262C"/>
    <w:rsid w:val="00833990"/>
    <w:rsid w:val="008339F9"/>
    <w:rsid w:val="00833A62"/>
    <w:rsid w:val="00833F5C"/>
    <w:rsid w:val="00834D8E"/>
    <w:rsid w:val="008358B7"/>
    <w:rsid w:val="00837BAB"/>
    <w:rsid w:val="00841C36"/>
    <w:rsid w:val="00842393"/>
    <w:rsid w:val="00842C68"/>
    <w:rsid w:val="00842DDA"/>
    <w:rsid w:val="00843606"/>
    <w:rsid w:val="008438F3"/>
    <w:rsid w:val="00843E24"/>
    <w:rsid w:val="008441CD"/>
    <w:rsid w:val="00844327"/>
    <w:rsid w:val="0084634B"/>
    <w:rsid w:val="0084657A"/>
    <w:rsid w:val="008474DA"/>
    <w:rsid w:val="00847EA6"/>
    <w:rsid w:val="00850946"/>
    <w:rsid w:val="008532C2"/>
    <w:rsid w:val="00856FA3"/>
    <w:rsid w:val="00857F6E"/>
    <w:rsid w:val="00861374"/>
    <w:rsid w:val="008619CE"/>
    <w:rsid w:val="00862B66"/>
    <w:rsid w:val="008705E3"/>
    <w:rsid w:val="00870635"/>
    <w:rsid w:val="00871F52"/>
    <w:rsid w:val="0087248D"/>
    <w:rsid w:val="0087274A"/>
    <w:rsid w:val="00873608"/>
    <w:rsid w:val="00873E3D"/>
    <w:rsid w:val="008752C0"/>
    <w:rsid w:val="00875BCB"/>
    <w:rsid w:val="00875DF2"/>
    <w:rsid w:val="00876521"/>
    <w:rsid w:val="00877C12"/>
    <w:rsid w:val="00880A39"/>
    <w:rsid w:val="00880D07"/>
    <w:rsid w:val="00881537"/>
    <w:rsid w:val="00883375"/>
    <w:rsid w:val="008838DB"/>
    <w:rsid w:val="0088623E"/>
    <w:rsid w:val="0089074E"/>
    <w:rsid w:val="008909E5"/>
    <w:rsid w:val="00890D08"/>
    <w:rsid w:val="00894A0A"/>
    <w:rsid w:val="00894B05"/>
    <w:rsid w:val="008955BC"/>
    <w:rsid w:val="008965DD"/>
    <w:rsid w:val="008975E9"/>
    <w:rsid w:val="008A0DB7"/>
    <w:rsid w:val="008A1CD6"/>
    <w:rsid w:val="008A2683"/>
    <w:rsid w:val="008A2707"/>
    <w:rsid w:val="008A2CEF"/>
    <w:rsid w:val="008A3B9E"/>
    <w:rsid w:val="008A3EC9"/>
    <w:rsid w:val="008A44AD"/>
    <w:rsid w:val="008A45B5"/>
    <w:rsid w:val="008A4B30"/>
    <w:rsid w:val="008A5644"/>
    <w:rsid w:val="008A6377"/>
    <w:rsid w:val="008B186A"/>
    <w:rsid w:val="008B2AA3"/>
    <w:rsid w:val="008B33C1"/>
    <w:rsid w:val="008B4F8B"/>
    <w:rsid w:val="008B707D"/>
    <w:rsid w:val="008B7A75"/>
    <w:rsid w:val="008C1038"/>
    <w:rsid w:val="008C1811"/>
    <w:rsid w:val="008C2520"/>
    <w:rsid w:val="008C2535"/>
    <w:rsid w:val="008C2751"/>
    <w:rsid w:val="008C471E"/>
    <w:rsid w:val="008C6322"/>
    <w:rsid w:val="008C7047"/>
    <w:rsid w:val="008C74DC"/>
    <w:rsid w:val="008D050C"/>
    <w:rsid w:val="008D0751"/>
    <w:rsid w:val="008D14E9"/>
    <w:rsid w:val="008D3085"/>
    <w:rsid w:val="008D3952"/>
    <w:rsid w:val="008D498E"/>
    <w:rsid w:val="008D4B12"/>
    <w:rsid w:val="008E14AF"/>
    <w:rsid w:val="008E1534"/>
    <w:rsid w:val="008E19E6"/>
    <w:rsid w:val="008E1D00"/>
    <w:rsid w:val="008E3D03"/>
    <w:rsid w:val="008E43D1"/>
    <w:rsid w:val="008E48D1"/>
    <w:rsid w:val="008E534F"/>
    <w:rsid w:val="008E56F8"/>
    <w:rsid w:val="008E5DAF"/>
    <w:rsid w:val="008E61EE"/>
    <w:rsid w:val="008E64CB"/>
    <w:rsid w:val="008F06E5"/>
    <w:rsid w:val="008F160B"/>
    <w:rsid w:val="008F29CC"/>
    <w:rsid w:val="008F2D62"/>
    <w:rsid w:val="008F32CD"/>
    <w:rsid w:val="008F3303"/>
    <w:rsid w:val="008F35A0"/>
    <w:rsid w:val="008F41E3"/>
    <w:rsid w:val="008F4914"/>
    <w:rsid w:val="008F6907"/>
    <w:rsid w:val="008F7D4B"/>
    <w:rsid w:val="00900308"/>
    <w:rsid w:val="009009A6"/>
    <w:rsid w:val="00901A7B"/>
    <w:rsid w:val="0090277D"/>
    <w:rsid w:val="0090324F"/>
    <w:rsid w:val="0090418B"/>
    <w:rsid w:val="009051BB"/>
    <w:rsid w:val="00905E05"/>
    <w:rsid w:val="009064F7"/>
    <w:rsid w:val="009079AE"/>
    <w:rsid w:val="00907A27"/>
    <w:rsid w:val="00907A95"/>
    <w:rsid w:val="00907AEA"/>
    <w:rsid w:val="00910134"/>
    <w:rsid w:val="00911BC0"/>
    <w:rsid w:val="0091403A"/>
    <w:rsid w:val="00915DA8"/>
    <w:rsid w:val="00916869"/>
    <w:rsid w:val="00916B41"/>
    <w:rsid w:val="009176B0"/>
    <w:rsid w:val="0092117E"/>
    <w:rsid w:val="00921D46"/>
    <w:rsid w:val="0092232B"/>
    <w:rsid w:val="00922383"/>
    <w:rsid w:val="00922398"/>
    <w:rsid w:val="00922566"/>
    <w:rsid w:val="00922F13"/>
    <w:rsid w:val="00923B3E"/>
    <w:rsid w:val="009240BF"/>
    <w:rsid w:val="0092665F"/>
    <w:rsid w:val="00926ABC"/>
    <w:rsid w:val="009276B0"/>
    <w:rsid w:val="00931AF0"/>
    <w:rsid w:val="009359F1"/>
    <w:rsid w:val="00935C77"/>
    <w:rsid w:val="00935D53"/>
    <w:rsid w:val="00936CC4"/>
    <w:rsid w:val="00936FB5"/>
    <w:rsid w:val="00937743"/>
    <w:rsid w:val="009377E2"/>
    <w:rsid w:val="009404CF"/>
    <w:rsid w:val="0094245C"/>
    <w:rsid w:val="00943D25"/>
    <w:rsid w:val="00944ABA"/>
    <w:rsid w:val="00947EA6"/>
    <w:rsid w:val="00951655"/>
    <w:rsid w:val="00953180"/>
    <w:rsid w:val="00954311"/>
    <w:rsid w:val="0095587D"/>
    <w:rsid w:val="00956192"/>
    <w:rsid w:val="009561EC"/>
    <w:rsid w:val="00960D33"/>
    <w:rsid w:val="00965DE3"/>
    <w:rsid w:val="0096680B"/>
    <w:rsid w:val="0096697E"/>
    <w:rsid w:val="00966D02"/>
    <w:rsid w:val="0096752A"/>
    <w:rsid w:val="009678EA"/>
    <w:rsid w:val="00970161"/>
    <w:rsid w:val="0097156C"/>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5AB5"/>
    <w:rsid w:val="00987220"/>
    <w:rsid w:val="00987A22"/>
    <w:rsid w:val="00990092"/>
    <w:rsid w:val="00990429"/>
    <w:rsid w:val="00990B18"/>
    <w:rsid w:val="0099350E"/>
    <w:rsid w:val="00996E8E"/>
    <w:rsid w:val="009A06A1"/>
    <w:rsid w:val="009A665B"/>
    <w:rsid w:val="009A6CC6"/>
    <w:rsid w:val="009A76F9"/>
    <w:rsid w:val="009B1C1B"/>
    <w:rsid w:val="009B23EA"/>
    <w:rsid w:val="009B3290"/>
    <w:rsid w:val="009B381E"/>
    <w:rsid w:val="009B71DC"/>
    <w:rsid w:val="009C238D"/>
    <w:rsid w:val="009C25D9"/>
    <w:rsid w:val="009C2752"/>
    <w:rsid w:val="009C2B24"/>
    <w:rsid w:val="009C2D1E"/>
    <w:rsid w:val="009C2D5E"/>
    <w:rsid w:val="009C44A4"/>
    <w:rsid w:val="009C5EAE"/>
    <w:rsid w:val="009C6624"/>
    <w:rsid w:val="009C7327"/>
    <w:rsid w:val="009D1BA6"/>
    <w:rsid w:val="009D4DAF"/>
    <w:rsid w:val="009D4F3B"/>
    <w:rsid w:val="009D5452"/>
    <w:rsid w:val="009D5A94"/>
    <w:rsid w:val="009D6969"/>
    <w:rsid w:val="009E1366"/>
    <w:rsid w:val="009E1B4E"/>
    <w:rsid w:val="009E29C9"/>
    <w:rsid w:val="009E4949"/>
    <w:rsid w:val="009E5884"/>
    <w:rsid w:val="009E58ED"/>
    <w:rsid w:val="009E6374"/>
    <w:rsid w:val="009E63F1"/>
    <w:rsid w:val="009E6591"/>
    <w:rsid w:val="009F06B0"/>
    <w:rsid w:val="009F11DD"/>
    <w:rsid w:val="009F22AF"/>
    <w:rsid w:val="009F327C"/>
    <w:rsid w:val="009F366F"/>
    <w:rsid w:val="009F4CAE"/>
    <w:rsid w:val="009F54C3"/>
    <w:rsid w:val="009F6D4F"/>
    <w:rsid w:val="009F799C"/>
    <w:rsid w:val="009F7C7C"/>
    <w:rsid w:val="00A00346"/>
    <w:rsid w:val="00A050CB"/>
    <w:rsid w:val="00A05705"/>
    <w:rsid w:val="00A0637C"/>
    <w:rsid w:val="00A07A20"/>
    <w:rsid w:val="00A112E7"/>
    <w:rsid w:val="00A15711"/>
    <w:rsid w:val="00A17529"/>
    <w:rsid w:val="00A17682"/>
    <w:rsid w:val="00A20532"/>
    <w:rsid w:val="00A20814"/>
    <w:rsid w:val="00A20D72"/>
    <w:rsid w:val="00A225D0"/>
    <w:rsid w:val="00A24686"/>
    <w:rsid w:val="00A25593"/>
    <w:rsid w:val="00A27068"/>
    <w:rsid w:val="00A2708A"/>
    <w:rsid w:val="00A32B90"/>
    <w:rsid w:val="00A33926"/>
    <w:rsid w:val="00A34796"/>
    <w:rsid w:val="00A35590"/>
    <w:rsid w:val="00A401BA"/>
    <w:rsid w:val="00A4162D"/>
    <w:rsid w:val="00A4290C"/>
    <w:rsid w:val="00A42D45"/>
    <w:rsid w:val="00A44D23"/>
    <w:rsid w:val="00A462B9"/>
    <w:rsid w:val="00A503B1"/>
    <w:rsid w:val="00A50A40"/>
    <w:rsid w:val="00A52229"/>
    <w:rsid w:val="00A526EA"/>
    <w:rsid w:val="00A54F6C"/>
    <w:rsid w:val="00A56581"/>
    <w:rsid w:val="00A56AF1"/>
    <w:rsid w:val="00A60646"/>
    <w:rsid w:val="00A60FAE"/>
    <w:rsid w:val="00A61B9E"/>
    <w:rsid w:val="00A63839"/>
    <w:rsid w:val="00A6445C"/>
    <w:rsid w:val="00A6698E"/>
    <w:rsid w:val="00A6751F"/>
    <w:rsid w:val="00A70147"/>
    <w:rsid w:val="00A73ACA"/>
    <w:rsid w:val="00A749BF"/>
    <w:rsid w:val="00A74CC6"/>
    <w:rsid w:val="00A75729"/>
    <w:rsid w:val="00A76B01"/>
    <w:rsid w:val="00A76DC3"/>
    <w:rsid w:val="00A776B6"/>
    <w:rsid w:val="00A77929"/>
    <w:rsid w:val="00A80CE4"/>
    <w:rsid w:val="00A80E81"/>
    <w:rsid w:val="00A822B2"/>
    <w:rsid w:val="00A82648"/>
    <w:rsid w:val="00A82B71"/>
    <w:rsid w:val="00A83729"/>
    <w:rsid w:val="00A83C8B"/>
    <w:rsid w:val="00A83F68"/>
    <w:rsid w:val="00A85D7B"/>
    <w:rsid w:val="00A87739"/>
    <w:rsid w:val="00A90503"/>
    <w:rsid w:val="00A93216"/>
    <w:rsid w:val="00A93DC7"/>
    <w:rsid w:val="00A93F34"/>
    <w:rsid w:val="00A94B13"/>
    <w:rsid w:val="00A96C0B"/>
    <w:rsid w:val="00A96D1B"/>
    <w:rsid w:val="00A97519"/>
    <w:rsid w:val="00A979ED"/>
    <w:rsid w:val="00AA03CE"/>
    <w:rsid w:val="00AA0BC7"/>
    <w:rsid w:val="00AA203D"/>
    <w:rsid w:val="00AA279E"/>
    <w:rsid w:val="00AA2D93"/>
    <w:rsid w:val="00AA4B91"/>
    <w:rsid w:val="00AA537E"/>
    <w:rsid w:val="00AA59A0"/>
    <w:rsid w:val="00AA6FD4"/>
    <w:rsid w:val="00AB0812"/>
    <w:rsid w:val="00AB2920"/>
    <w:rsid w:val="00AB385C"/>
    <w:rsid w:val="00AC0A94"/>
    <w:rsid w:val="00AC141D"/>
    <w:rsid w:val="00AC1A4B"/>
    <w:rsid w:val="00AC3642"/>
    <w:rsid w:val="00AD0126"/>
    <w:rsid w:val="00AD01C2"/>
    <w:rsid w:val="00AD0FCB"/>
    <w:rsid w:val="00AD159C"/>
    <w:rsid w:val="00AD29A8"/>
    <w:rsid w:val="00AD320D"/>
    <w:rsid w:val="00AD4DD2"/>
    <w:rsid w:val="00AD55C4"/>
    <w:rsid w:val="00AE08D6"/>
    <w:rsid w:val="00AE1333"/>
    <w:rsid w:val="00AE6FA7"/>
    <w:rsid w:val="00AE7035"/>
    <w:rsid w:val="00AE70D3"/>
    <w:rsid w:val="00AE7473"/>
    <w:rsid w:val="00AE7757"/>
    <w:rsid w:val="00AF060E"/>
    <w:rsid w:val="00AF0652"/>
    <w:rsid w:val="00AF06DB"/>
    <w:rsid w:val="00AF1F1E"/>
    <w:rsid w:val="00AF2C85"/>
    <w:rsid w:val="00AF2D42"/>
    <w:rsid w:val="00AF4D41"/>
    <w:rsid w:val="00AF569A"/>
    <w:rsid w:val="00AF572D"/>
    <w:rsid w:val="00AF5EEF"/>
    <w:rsid w:val="00AF79CB"/>
    <w:rsid w:val="00AF7F1E"/>
    <w:rsid w:val="00B012CD"/>
    <w:rsid w:val="00B01639"/>
    <w:rsid w:val="00B03B71"/>
    <w:rsid w:val="00B05E38"/>
    <w:rsid w:val="00B07D81"/>
    <w:rsid w:val="00B11442"/>
    <w:rsid w:val="00B15C71"/>
    <w:rsid w:val="00B166B5"/>
    <w:rsid w:val="00B1697D"/>
    <w:rsid w:val="00B174D2"/>
    <w:rsid w:val="00B216CF"/>
    <w:rsid w:val="00B21946"/>
    <w:rsid w:val="00B246B4"/>
    <w:rsid w:val="00B262C8"/>
    <w:rsid w:val="00B26DB6"/>
    <w:rsid w:val="00B3015E"/>
    <w:rsid w:val="00B30D09"/>
    <w:rsid w:val="00B34382"/>
    <w:rsid w:val="00B34C51"/>
    <w:rsid w:val="00B3525C"/>
    <w:rsid w:val="00B36020"/>
    <w:rsid w:val="00B3735E"/>
    <w:rsid w:val="00B41404"/>
    <w:rsid w:val="00B41EA1"/>
    <w:rsid w:val="00B42A83"/>
    <w:rsid w:val="00B452A3"/>
    <w:rsid w:val="00B4537B"/>
    <w:rsid w:val="00B470A0"/>
    <w:rsid w:val="00B505F9"/>
    <w:rsid w:val="00B50E2D"/>
    <w:rsid w:val="00B510BF"/>
    <w:rsid w:val="00B523ED"/>
    <w:rsid w:val="00B5244A"/>
    <w:rsid w:val="00B531AB"/>
    <w:rsid w:val="00B53C34"/>
    <w:rsid w:val="00B60071"/>
    <w:rsid w:val="00B61044"/>
    <w:rsid w:val="00B62488"/>
    <w:rsid w:val="00B651E4"/>
    <w:rsid w:val="00B65791"/>
    <w:rsid w:val="00B660BD"/>
    <w:rsid w:val="00B66A36"/>
    <w:rsid w:val="00B72438"/>
    <w:rsid w:val="00B72BAB"/>
    <w:rsid w:val="00B732AD"/>
    <w:rsid w:val="00B74559"/>
    <w:rsid w:val="00B74743"/>
    <w:rsid w:val="00B76557"/>
    <w:rsid w:val="00B77D8D"/>
    <w:rsid w:val="00B81BCB"/>
    <w:rsid w:val="00B85489"/>
    <w:rsid w:val="00B87179"/>
    <w:rsid w:val="00B87236"/>
    <w:rsid w:val="00B87D12"/>
    <w:rsid w:val="00B9048A"/>
    <w:rsid w:val="00B906E1"/>
    <w:rsid w:val="00B93B50"/>
    <w:rsid w:val="00B951FF"/>
    <w:rsid w:val="00B956B6"/>
    <w:rsid w:val="00BA000A"/>
    <w:rsid w:val="00BA0F40"/>
    <w:rsid w:val="00BA118B"/>
    <w:rsid w:val="00BA2A0F"/>
    <w:rsid w:val="00BA328B"/>
    <w:rsid w:val="00BA3D5F"/>
    <w:rsid w:val="00BA47F0"/>
    <w:rsid w:val="00BA4E0F"/>
    <w:rsid w:val="00BB0782"/>
    <w:rsid w:val="00BB0DE5"/>
    <w:rsid w:val="00BB1C7E"/>
    <w:rsid w:val="00BB2E04"/>
    <w:rsid w:val="00BB3000"/>
    <w:rsid w:val="00BB34E3"/>
    <w:rsid w:val="00BB3E3B"/>
    <w:rsid w:val="00BB5721"/>
    <w:rsid w:val="00BB69DB"/>
    <w:rsid w:val="00BB6F82"/>
    <w:rsid w:val="00BB723C"/>
    <w:rsid w:val="00BC2630"/>
    <w:rsid w:val="00BC2BA2"/>
    <w:rsid w:val="00BC2ED4"/>
    <w:rsid w:val="00BC311E"/>
    <w:rsid w:val="00BC311F"/>
    <w:rsid w:val="00BC34E3"/>
    <w:rsid w:val="00BC36B3"/>
    <w:rsid w:val="00BC561D"/>
    <w:rsid w:val="00BC6BCA"/>
    <w:rsid w:val="00BD0693"/>
    <w:rsid w:val="00BD08E5"/>
    <w:rsid w:val="00BD0CA8"/>
    <w:rsid w:val="00BD0CCE"/>
    <w:rsid w:val="00BD0F2D"/>
    <w:rsid w:val="00BD1014"/>
    <w:rsid w:val="00BD396E"/>
    <w:rsid w:val="00BD3DF1"/>
    <w:rsid w:val="00BD4914"/>
    <w:rsid w:val="00BD55B7"/>
    <w:rsid w:val="00BD659A"/>
    <w:rsid w:val="00BD7AF5"/>
    <w:rsid w:val="00BD7F12"/>
    <w:rsid w:val="00BE0572"/>
    <w:rsid w:val="00BE0F0E"/>
    <w:rsid w:val="00BE20C3"/>
    <w:rsid w:val="00BE22CC"/>
    <w:rsid w:val="00BE2331"/>
    <w:rsid w:val="00BE470D"/>
    <w:rsid w:val="00BE4A53"/>
    <w:rsid w:val="00BE627F"/>
    <w:rsid w:val="00BE7875"/>
    <w:rsid w:val="00BF0642"/>
    <w:rsid w:val="00BF1223"/>
    <w:rsid w:val="00BF17E8"/>
    <w:rsid w:val="00BF21B1"/>
    <w:rsid w:val="00BF29AC"/>
    <w:rsid w:val="00BF4912"/>
    <w:rsid w:val="00BF4B8F"/>
    <w:rsid w:val="00C000FD"/>
    <w:rsid w:val="00C005BC"/>
    <w:rsid w:val="00C01DF1"/>
    <w:rsid w:val="00C04D83"/>
    <w:rsid w:val="00C1070D"/>
    <w:rsid w:val="00C10B3B"/>
    <w:rsid w:val="00C11080"/>
    <w:rsid w:val="00C11BC2"/>
    <w:rsid w:val="00C11ECE"/>
    <w:rsid w:val="00C129DE"/>
    <w:rsid w:val="00C150BB"/>
    <w:rsid w:val="00C16B79"/>
    <w:rsid w:val="00C2099E"/>
    <w:rsid w:val="00C224C0"/>
    <w:rsid w:val="00C22816"/>
    <w:rsid w:val="00C23CF0"/>
    <w:rsid w:val="00C249F4"/>
    <w:rsid w:val="00C263C7"/>
    <w:rsid w:val="00C265BD"/>
    <w:rsid w:val="00C31272"/>
    <w:rsid w:val="00C31466"/>
    <w:rsid w:val="00C31BB5"/>
    <w:rsid w:val="00C34562"/>
    <w:rsid w:val="00C369F9"/>
    <w:rsid w:val="00C47AA5"/>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1F9"/>
    <w:rsid w:val="00C63544"/>
    <w:rsid w:val="00C6394E"/>
    <w:rsid w:val="00C65397"/>
    <w:rsid w:val="00C715BD"/>
    <w:rsid w:val="00C7228F"/>
    <w:rsid w:val="00C76128"/>
    <w:rsid w:val="00C82776"/>
    <w:rsid w:val="00C8303E"/>
    <w:rsid w:val="00C83C7F"/>
    <w:rsid w:val="00C84EC9"/>
    <w:rsid w:val="00C85731"/>
    <w:rsid w:val="00C8685C"/>
    <w:rsid w:val="00C86EDA"/>
    <w:rsid w:val="00C874A3"/>
    <w:rsid w:val="00C87826"/>
    <w:rsid w:val="00C87F55"/>
    <w:rsid w:val="00C900B9"/>
    <w:rsid w:val="00C9066A"/>
    <w:rsid w:val="00C90AE0"/>
    <w:rsid w:val="00C926AE"/>
    <w:rsid w:val="00C9400D"/>
    <w:rsid w:val="00C9595A"/>
    <w:rsid w:val="00CA0FE5"/>
    <w:rsid w:val="00CA1B3B"/>
    <w:rsid w:val="00CA560E"/>
    <w:rsid w:val="00CA5CC9"/>
    <w:rsid w:val="00CA723F"/>
    <w:rsid w:val="00CB09CE"/>
    <w:rsid w:val="00CB1B1A"/>
    <w:rsid w:val="00CB2A6E"/>
    <w:rsid w:val="00CB6C17"/>
    <w:rsid w:val="00CB7304"/>
    <w:rsid w:val="00CB78C4"/>
    <w:rsid w:val="00CC0897"/>
    <w:rsid w:val="00CC1CB4"/>
    <w:rsid w:val="00CC3478"/>
    <w:rsid w:val="00CC7D0A"/>
    <w:rsid w:val="00CD02AB"/>
    <w:rsid w:val="00CD13F8"/>
    <w:rsid w:val="00CD28D5"/>
    <w:rsid w:val="00CD2EA0"/>
    <w:rsid w:val="00CD330F"/>
    <w:rsid w:val="00CD4123"/>
    <w:rsid w:val="00CD61C1"/>
    <w:rsid w:val="00CD6788"/>
    <w:rsid w:val="00CD681E"/>
    <w:rsid w:val="00CE11F6"/>
    <w:rsid w:val="00CE2716"/>
    <w:rsid w:val="00CE2DFA"/>
    <w:rsid w:val="00CE2F2A"/>
    <w:rsid w:val="00CE461E"/>
    <w:rsid w:val="00CE699E"/>
    <w:rsid w:val="00CE7B3A"/>
    <w:rsid w:val="00CF00D7"/>
    <w:rsid w:val="00CF01F6"/>
    <w:rsid w:val="00CF2C6A"/>
    <w:rsid w:val="00CF5485"/>
    <w:rsid w:val="00CF5ACA"/>
    <w:rsid w:val="00CF5CDF"/>
    <w:rsid w:val="00CF6DC4"/>
    <w:rsid w:val="00CF7075"/>
    <w:rsid w:val="00CF76B3"/>
    <w:rsid w:val="00CF77BF"/>
    <w:rsid w:val="00CF7D07"/>
    <w:rsid w:val="00D00BE7"/>
    <w:rsid w:val="00D00E94"/>
    <w:rsid w:val="00D0144A"/>
    <w:rsid w:val="00D03109"/>
    <w:rsid w:val="00D03A53"/>
    <w:rsid w:val="00D04219"/>
    <w:rsid w:val="00D042B9"/>
    <w:rsid w:val="00D075C8"/>
    <w:rsid w:val="00D100AF"/>
    <w:rsid w:val="00D100F6"/>
    <w:rsid w:val="00D11A4B"/>
    <w:rsid w:val="00D14823"/>
    <w:rsid w:val="00D17BFC"/>
    <w:rsid w:val="00D202C1"/>
    <w:rsid w:val="00D21F05"/>
    <w:rsid w:val="00D24521"/>
    <w:rsid w:val="00D250E4"/>
    <w:rsid w:val="00D270E9"/>
    <w:rsid w:val="00D27C6F"/>
    <w:rsid w:val="00D30B66"/>
    <w:rsid w:val="00D31842"/>
    <w:rsid w:val="00D31C14"/>
    <w:rsid w:val="00D35098"/>
    <w:rsid w:val="00D35616"/>
    <w:rsid w:val="00D36F00"/>
    <w:rsid w:val="00D40A25"/>
    <w:rsid w:val="00D42F42"/>
    <w:rsid w:val="00D43767"/>
    <w:rsid w:val="00D444B5"/>
    <w:rsid w:val="00D4461C"/>
    <w:rsid w:val="00D478F6"/>
    <w:rsid w:val="00D500F9"/>
    <w:rsid w:val="00D501A1"/>
    <w:rsid w:val="00D52251"/>
    <w:rsid w:val="00D54325"/>
    <w:rsid w:val="00D60512"/>
    <w:rsid w:val="00D60B36"/>
    <w:rsid w:val="00D61D54"/>
    <w:rsid w:val="00D63CCB"/>
    <w:rsid w:val="00D65446"/>
    <w:rsid w:val="00D65E59"/>
    <w:rsid w:val="00D6634F"/>
    <w:rsid w:val="00D67480"/>
    <w:rsid w:val="00D7055A"/>
    <w:rsid w:val="00D70A32"/>
    <w:rsid w:val="00D70A75"/>
    <w:rsid w:val="00D72A31"/>
    <w:rsid w:val="00D73D1F"/>
    <w:rsid w:val="00D7465B"/>
    <w:rsid w:val="00D8203D"/>
    <w:rsid w:val="00D85741"/>
    <w:rsid w:val="00D903E2"/>
    <w:rsid w:val="00D9055C"/>
    <w:rsid w:val="00D90A45"/>
    <w:rsid w:val="00D90C50"/>
    <w:rsid w:val="00D92F9F"/>
    <w:rsid w:val="00D92FBF"/>
    <w:rsid w:val="00D93260"/>
    <w:rsid w:val="00D934F0"/>
    <w:rsid w:val="00D94754"/>
    <w:rsid w:val="00D94C5D"/>
    <w:rsid w:val="00D94E08"/>
    <w:rsid w:val="00D95E2C"/>
    <w:rsid w:val="00D977EB"/>
    <w:rsid w:val="00DA3DF4"/>
    <w:rsid w:val="00DA3EDA"/>
    <w:rsid w:val="00DA48DA"/>
    <w:rsid w:val="00DA6976"/>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C2152"/>
    <w:rsid w:val="00DC6060"/>
    <w:rsid w:val="00DC611C"/>
    <w:rsid w:val="00DC663A"/>
    <w:rsid w:val="00DC7E22"/>
    <w:rsid w:val="00DD0632"/>
    <w:rsid w:val="00DD2A09"/>
    <w:rsid w:val="00DD31EE"/>
    <w:rsid w:val="00DD3713"/>
    <w:rsid w:val="00DD3B2B"/>
    <w:rsid w:val="00DD3CB9"/>
    <w:rsid w:val="00DD55D5"/>
    <w:rsid w:val="00DD590B"/>
    <w:rsid w:val="00DD5A1F"/>
    <w:rsid w:val="00DD6D36"/>
    <w:rsid w:val="00DD6D7E"/>
    <w:rsid w:val="00DE12BA"/>
    <w:rsid w:val="00DE7345"/>
    <w:rsid w:val="00DF043F"/>
    <w:rsid w:val="00DF0DE0"/>
    <w:rsid w:val="00DF253B"/>
    <w:rsid w:val="00DF278B"/>
    <w:rsid w:val="00DF3D29"/>
    <w:rsid w:val="00DF6918"/>
    <w:rsid w:val="00DF6EFD"/>
    <w:rsid w:val="00DF742C"/>
    <w:rsid w:val="00DF7938"/>
    <w:rsid w:val="00E000E2"/>
    <w:rsid w:val="00E004DB"/>
    <w:rsid w:val="00E005C1"/>
    <w:rsid w:val="00E01B3E"/>
    <w:rsid w:val="00E01C97"/>
    <w:rsid w:val="00E020B4"/>
    <w:rsid w:val="00E028C6"/>
    <w:rsid w:val="00E05FBF"/>
    <w:rsid w:val="00E07299"/>
    <w:rsid w:val="00E10987"/>
    <w:rsid w:val="00E10E9F"/>
    <w:rsid w:val="00E12162"/>
    <w:rsid w:val="00E1237D"/>
    <w:rsid w:val="00E1246C"/>
    <w:rsid w:val="00E14346"/>
    <w:rsid w:val="00E15335"/>
    <w:rsid w:val="00E15FE2"/>
    <w:rsid w:val="00E17A0A"/>
    <w:rsid w:val="00E20973"/>
    <w:rsid w:val="00E20EAD"/>
    <w:rsid w:val="00E2114F"/>
    <w:rsid w:val="00E22ED2"/>
    <w:rsid w:val="00E231B5"/>
    <w:rsid w:val="00E26138"/>
    <w:rsid w:val="00E27344"/>
    <w:rsid w:val="00E27D5F"/>
    <w:rsid w:val="00E32F77"/>
    <w:rsid w:val="00E33F31"/>
    <w:rsid w:val="00E34C9F"/>
    <w:rsid w:val="00E37B03"/>
    <w:rsid w:val="00E41838"/>
    <w:rsid w:val="00E429CC"/>
    <w:rsid w:val="00E43A45"/>
    <w:rsid w:val="00E44A2E"/>
    <w:rsid w:val="00E455C7"/>
    <w:rsid w:val="00E456B9"/>
    <w:rsid w:val="00E51892"/>
    <w:rsid w:val="00E51BFE"/>
    <w:rsid w:val="00E51C99"/>
    <w:rsid w:val="00E51F77"/>
    <w:rsid w:val="00E5267F"/>
    <w:rsid w:val="00E52E82"/>
    <w:rsid w:val="00E541DB"/>
    <w:rsid w:val="00E54F18"/>
    <w:rsid w:val="00E60E89"/>
    <w:rsid w:val="00E61936"/>
    <w:rsid w:val="00E62BA0"/>
    <w:rsid w:val="00E64002"/>
    <w:rsid w:val="00E65069"/>
    <w:rsid w:val="00E6615D"/>
    <w:rsid w:val="00E661DA"/>
    <w:rsid w:val="00E666A2"/>
    <w:rsid w:val="00E6728C"/>
    <w:rsid w:val="00E676F8"/>
    <w:rsid w:val="00E67733"/>
    <w:rsid w:val="00E6795C"/>
    <w:rsid w:val="00E70CBD"/>
    <w:rsid w:val="00E70FF3"/>
    <w:rsid w:val="00E723B5"/>
    <w:rsid w:val="00E72D9D"/>
    <w:rsid w:val="00E73A92"/>
    <w:rsid w:val="00E760AA"/>
    <w:rsid w:val="00E775D3"/>
    <w:rsid w:val="00E77D47"/>
    <w:rsid w:val="00E806D4"/>
    <w:rsid w:val="00E80E60"/>
    <w:rsid w:val="00E827E8"/>
    <w:rsid w:val="00E832F5"/>
    <w:rsid w:val="00E84287"/>
    <w:rsid w:val="00E85FC6"/>
    <w:rsid w:val="00E86D1B"/>
    <w:rsid w:val="00E87DB5"/>
    <w:rsid w:val="00E93CCA"/>
    <w:rsid w:val="00E93E95"/>
    <w:rsid w:val="00E963FB"/>
    <w:rsid w:val="00E969BA"/>
    <w:rsid w:val="00E975A8"/>
    <w:rsid w:val="00EA0275"/>
    <w:rsid w:val="00EA29A3"/>
    <w:rsid w:val="00EA543D"/>
    <w:rsid w:val="00EA71B1"/>
    <w:rsid w:val="00EB025B"/>
    <w:rsid w:val="00EB128C"/>
    <w:rsid w:val="00EB198B"/>
    <w:rsid w:val="00EB2240"/>
    <w:rsid w:val="00EB38EF"/>
    <w:rsid w:val="00EB417F"/>
    <w:rsid w:val="00EB44C1"/>
    <w:rsid w:val="00EC051D"/>
    <w:rsid w:val="00EC15BB"/>
    <w:rsid w:val="00EC161A"/>
    <w:rsid w:val="00EC19D7"/>
    <w:rsid w:val="00EC4D36"/>
    <w:rsid w:val="00EC4E93"/>
    <w:rsid w:val="00EC6E0D"/>
    <w:rsid w:val="00ED006E"/>
    <w:rsid w:val="00ED0802"/>
    <w:rsid w:val="00ED4506"/>
    <w:rsid w:val="00ED5D29"/>
    <w:rsid w:val="00ED6EE3"/>
    <w:rsid w:val="00ED6F01"/>
    <w:rsid w:val="00EE1F28"/>
    <w:rsid w:val="00EE46DE"/>
    <w:rsid w:val="00EE6649"/>
    <w:rsid w:val="00EE7541"/>
    <w:rsid w:val="00EE79AE"/>
    <w:rsid w:val="00EF067B"/>
    <w:rsid w:val="00EF0CD0"/>
    <w:rsid w:val="00EF284D"/>
    <w:rsid w:val="00EF2A2C"/>
    <w:rsid w:val="00EF30E5"/>
    <w:rsid w:val="00EF4272"/>
    <w:rsid w:val="00EF5746"/>
    <w:rsid w:val="00EF587D"/>
    <w:rsid w:val="00EF7011"/>
    <w:rsid w:val="00EF7A51"/>
    <w:rsid w:val="00EF7E66"/>
    <w:rsid w:val="00F0098C"/>
    <w:rsid w:val="00F03628"/>
    <w:rsid w:val="00F04F94"/>
    <w:rsid w:val="00F060D7"/>
    <w:rsid w:val="00F06D25"/>
    <w:rsid w:val="00F11E9E"/>
    <w:rsid w:val="00F13DB5"/>
    <w:rsid w:val="00F1504E"/>
    <w:rsid w:val="00F1512E"/>
    <w:rsid w:val="00F16EDD"/>
    <w:rsid w:val="00F206EA"/>
    <w:rsid w:val="00F232DE"/>
    <w:rsid w:val="00F24977"/>
    <w:rsid w:val="00F24B2C"/>
    <w:rsid w:val="00F25E26"/>
    <w:rsid w:val="00F26279"/>
    <w:rsid w:val="00F2705F"/>
    <w:rsid w:val="00F2764C"/>
    <w:rsid w:val="00F27C6C"/>
    <w:rsid w:val="00F27EA6"/>
    <w:rsid w:val="00F33BDF"/>
    <w:rsid w:val="00F33ECE"/>
    <w:rsid w:val="00F3755A"/>
    <w:rsid w:val="00F37A62"/>
    <w:rsid w:val="00F37C5D"/>
    <w:rsid w:val="00F4129B"/>
    <w:rsid w:val="00F422FE"/>
    <w:rsid w:val="00F43AF9"/>
    <w:rsid w:val="00F43F47"/>
    <w:rsid w:val="00F44502"/>
    <w:rsid w:val="00F45473"/>
    <w:rsid w:val="00F45A78"/>
    <w:rsid w:val="00F468B8"/>
    <w:rsid w:val="00F470C3"/>
    <w:rsid w:val="00F51A9F"/>
    <w:rsid w:val="00F5201A"/>
    <w:rsid w:val="00F52D4D"/>
    <w:rsid w:val="00F52E60"/>
    <w:rsid w:val="00F537FA"/>
    <w:rsid w:val="00F60494"/>
    <w:rsid w:val="00F618F1"/>
    <w:rsid w:val="00F62A1B"/>
    <w:rsid w:val="00F633F0"/>
    <w:rsid w:val="00F63717"/>
    <w:rsid w:val="00F650D3"/>
    <w:rsid w:val="00F652AD"/>
    <w:rsid w:val="00F6643C"/>
    <w:rsid w:val="00F7024F"/>
    <w:rsid w:val="00F707CE"/>
    <w:rsid w:val="00F72189"/>
    <w:rsid w:val="00F73219"/>
    <w:rsid w:val="00F73667"/>
    <w:rsid w:val="00F73D39"/>
    <w:rsid w:val="00F7454F"/>
    <w:rsid w:val="00F7637B"/>
    <w:rsid w:val="00F76BCF"/>
    <w:rsid w:val="00F77CF6"/>
    <w:rsid w:val="00F77E37"/>
    <w:rsid w:val="00F8335E"/>
    <w:rsid w:val="00F8572C"/>
    <w:rsid w:val="00F86559"/>
    <w:rsid w:val="00F87C10"/>
    <w:rsid w:val="00F91E8F"/>
    <w:rsid w:val="00F92280"/>
    <w:rsid w:val="00F941F9"/>
    <w:rsid w:val="00F943CE"/>
    <w:rsid w:val="00F9478D"/>
    <w:rsid w:val="00FA062B"/>
    <w:rsid w:val="00FA0D5C"/>
    <w:rsid w:val="00FA1077"/>
    <w:rsid w:val="00FA21AA"/>
    <w:rsid w:val="00FA47DC"/>
    <w:rsid w:val="00FA6179"/>
    <w:rsid w:val="00FA66DE"/>
    <w:rsid w:val="00FA6C94"/>
    <w:rsid w:val="00FA7CB6"/>
    <w:rsid w:val="00FB071A"/>
    <w:rsid w:val="00FB1824"/>
    <w:rsid w:val="00FB1A16"/>
    <w:rsid w:val="00FB1A1C"/>
    <w:rsid w:val="00FB1E86"/>
    <w:rsid w:val="00FB2692"/>
    <w:rsid w:val="00FB2E98"/>
    <w:rsid w:val="00FB45DC"/>
    <w:rsid w:val="00FB5FAE"/>
    <w:rsid w:val="00FB676B"/>
    <w:rsid w:val="00FB743A"/>
    <w:rsid w:val="00FB75B2"/>
    <w:rsid w:val="00FB7FC4"/>
    <w:rsid w:val="00FC0303"/>
    <w:rsid w:val="00FC0F78"/>
    <w:rsid w:val="00FC1267"/>
    <w:rsid w:val="00FC28C3"/>
    <w:rsid w:val="00FC430A"/>
    <w:rsid w:val="00FC5120"/>
    <w:rsid w:val="00FC5961"/>
    <w:rsid w:val="00FC5F3D"/>
    <w:rsid w:val="00FD0D95"/>
    <w:rsid w:val="00FD3526"/>
    <w:rsid w:val="00FD5713"/>
    <w:rsid w:val="00FD6CF0"/>
    <w:rsid w:val="00FD7CF9"/>
    <w:rsid w:val="00FE0185"/>
    <w:rsid w:val="00FE0DFF"/>
    <w:rsid w:val="00FE39A9"/>
    <w:rsid w:val="00FE4B86"/>
    <w:rsid w:val="00FE6A77"/>
    <w:rsid w:val="00FF1D41"/>
    <w:rsid w:val="00FF2CC0"/>
    <w:rsid w:val="00FF2F4B"/>
    <w:rsid w:val="00FF4EC4"/>
    <w:rsid w:val="00FF5817"/>
    <w:rsid w:val="00FF7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3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List Paragraph compact,Paragraphe de liste 2,Reference list,Bullet list,Numbered List,Lettre d'introduction"/>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 Paragraph compact Char,Paragraphe de liste 2 Char"/>
    <w:link w:val="ListParagraph"/>
    <w:uiPriority w:val="34"/>
    <w:qFormat/>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Quote">
    <w:name w:val="Quote"/>
    <w:basedOn w:val="Normal"/>
    <w:next w:val="Normal"/>
    <w:link w:val="QuoteChar"/>
    <w:uiPriority w:val="29"/>
    <w:qFormat/>
    <w:rsid w:val="00F63717"/>
    <w:pPr>
      <w:spacing w:before="200" w:after="160"/>
      <w:ind w:left="864" w:right="864"/>
      <w:jc w:val="center"/>
    </w:pPr>
    <w:rPr>
      <w:i/>
      <w:iCs/>
      <w:color w:val="404040" w:themeColor="text1" w:themeTint="BF"/>
      <w:lang w:val="en-US"/>
    </w:rPr>
  </w:style>
  <w:style w:type="character" w:customStyle="1" w:styleId="QuoteChar">
    <w:name w:val="Quote Char"/>
    <w:basedOn w:val="DefaultParagraphFont"/>
    <w:link w:val="Quote"/>
    <w:uiPriority w:val="29"/>
    <w:rsid w:val="00F63717"/>
    <w:rPr>
      <w:rFonts w:ascii="Times New Roman" w:eastAsia="Times New Roman" w:hAnsi="Times New Roman" w:cs="Times New Roman"/>
      <w:i/>
      <w:iCs/>
      <w:color w:val="404040" w:themeColor="text1" w:themeTint="BF"/>
      <w:sz w:val="24"/>
      <w:szCs w:val="24"/>
    </w:rPr>
  </w:style>
  <w:style w:type="paragraph" w:styleId="NormalWeb">
    <w:name w:val="Normal (Web)"/>
    <w:basedOn w:val="Normal"/>
    <w:uiPriority w:val="99"/>
    <w:unhideWhenUsed/>
    <w:rsid w:val="006B45F3"/>
    <w:pPr>
      <w:spacing w:before="100" w:beforeAutospacing="1" w:after="100" w:afterAutospacing="1"/>
    </w:pPr>
    <w:rPr>
      <w:rFonts w:eastAsiaTheme="minorEastAsia"/>
      <w:lang w:eastAsia="ro-RO"/>
    </w:rPr>
  </w:style>
  <w:style w:type="character" w:customStyle="1" w:styleId="spar">
    <w:name w:val="s_par"/>
    <w:basedOn w:val="DefaultParagraphFont"/>
    <w:rsid w:val="006B45F3"/>
  </w:style>
  <w:style w:type="character" w:customStyle="1" w:styleId="slit">
    <w:name w:val="s_lit"/>
    <w:basedOn w:val="DefaultParagraphFont"/>
    <w:rsid w:val="006B45F3"/>
  </w:style>
  <w:style w:type="character" w:customStyle="1" w:styleId="slitttl">
    <w:name w:val="s_lit_ttl"/>
    <w:basedOn w:val="DefaultParagraphFont"/>
    <w:rsid w:val="006B45F3"/>
  </w:style>
  <w:style w:type="character" w:customStyle="1" w:styleId="slitbdy">
    <w:name w:val="s_lit_bdy"/>
    <w:basedOn w:val="DefaultParagraphFont"/>
    <w:rsid w:val="006B45F3"/>
  </w:style>
  <w:style w:type="character" w:styleId="Strong">
    <w:name w:val="Strong"/>
    <w:basedOn w:val="DefaultParagraphFont"/>
    <w:uiPriority w:val="22"/>
    <w:qFormat/>
    <w:rsid w:val="000850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88509">
      <w:bodyDiv w:val="1"/>
      <w:marLeft w:val="0"/>
      <w:marRight w:val="0"/>
      <w:marTop w:val="0"/>
      <w:marBottom w:val="0"/>
      <w:divBdr>
        <w:top w:val="none" w:sz="0" w:space="0" w:color="auto"/>
        <w:left w:val="none" w:sz="0" w:space="0" w:color="auto"/>
        <w:bottom w:val="none" w:sz="0" w:space="0" w:color="auto"/>
        <w:right w:val="none" w:sz="0" w:space="0" w:color="auto"/>
      </w:divBdr>
    </w:div>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1729981">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16867985">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Administra%C8%9Bie_public%C4%8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nduri-ue.ro/poc-20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o.wikipedia.org/wiki/Uniunea_European%C4%83" TargetMode="External"/><Relationship Id="rId4" Type="http://schemas.openxmlformats.org/officeDocument/2006/relationships/settings" Target="settings.xml"/><Relationship Id="rId9" Type="http://schemas.openxmlformats.org/officeDocument/2006/relationships/hyperlink" Target="https://ro.wikipedia.org/wiki/Guvernul_Rom%C3%A2niei"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9193A-070E-4335-9BB2-413F43980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19</Pages>
  <Words>6327</Words>
  <Characters>36697</Characters>
  <Application>Microsoft Office Word</Application>
  <DocSecurity>0</DocSecurity>
  <Lines>305</Lines>
  <Paragraphs>85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42939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Monica Nicoleta Bucur</cp:lastModifiedBy>
  <cp:revision>58</cp:revision>
  <cp:lastPrinted>2022-12-27T12:24:00Z</cp:lastPrinted>
  <dcterms:created xsi:type="dcterms:W3CDTF">2022-12-23T06:44:00Z</dcterms:created>
  <dcterms:modified xsi:type="dcterms:W3CDTF">2022-12-27T15:38:00Z</dcterms:modified>
</cp:coreProperties>
</file>